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CE" w:rsidRPr="002F4250" w:rsidRDefault="0093390C" w:rsidP="00BF5751">
      <w:pPr>
        <w:jc w:val="center"/>
        <w:rPr>
          <w:rFonts w:ascii="Times New Roman" w:hAnsi="Times New Roman" w:cs="Times New Roman"/>
          <w:b/>
          <w:sz w:val="28"/>
          <w:szCs w:val="28"/>
        </w:rPr>
      </w:pPr>
      <w:r w:rsidRPr="002F4250">
        <w:rPr>
          <w:rFonts w:ascii="Times New Roman" w:hAnsi="Times New Roman" w:cs="Times New Roman"/>
          <w:b/>
          <w:sz w:val="28"/>
          <w:szCs w:val="28"/>
        </w:rPr>
        <w:t xml:space="preserve">Financial Vulnerability </w:t>
      </w:r>
      <w:r w:rsidR="00766924" w:rsidRPr="002F4250">
        <w:rPr>
          <w:rFonts w:ascii="Times New Roman" w:hAnsi="Times New Roman" w:cs="Times New Roman"/>
          <w:b/>
          <w:sz w:val="28"/>
          <w:szCs w:val="28"/>
        </w:rPr>
        <w:t>across Canadian Provinces</w:t>
      </w:r>
      <w:r w:rsidR="006C65D9" w:rsidRPr="002F4250">
        <w:rPr>
          <w:rFonts w:ascii="Times New Roman" w:hAnsi="Times New Roman" w:cs="Times New Roman"/>
          <w:b/>
          <w:sz w:val="28"/>
          <w:szCs w:val="28"/>
        </w:rPr>
        <w:t>: Age, Human Capital and Family Background</w:t>
      </w:r>
    </w:p>
    <w:p w:rsidR="00FC5CB4" w:rsidRPr="002F4250" w:rsidRDefault="00BF5751" w:rsidP="00BF5751">
      <w:pPr>
        <w:jc w:val="center"/>
        <w:rPr>
          <w:rFonts w:ascii="Times New Roman" w:hAnsi="Times New Roman" w:cs="Times New Roman"/>
          <w:sz w:val="24"/>
          <w:szCs w:val="24"/>
        </w:rPr>
      </w:pPr>
      <w:r w:rsidRPr="002F4250">
        <w:rPr>
          <w:rFonts w:ascii="Times New Roman" w:hAnsi="Times New Roman" w:cs="Times New Roman"/>
          <w:sz w:val="24"/>
          <w:szCs w:val="24"/>
        </w:rPr>
        <w:t xml:space="preserve">Maryam </w:t>
      </w:r>
      <w:proofErr w:type="spellStart"/>
      <w:r w:rsidRPr="002F4250">
        <w:rPr>
          <w:rFonts w:ascii="Times New Roman" w:hAnsi="Times New Roman" w:cs="Times New Roman"/>
          <w:sz w:val="24"/>
          <w:szCs w:val="24"/>
        </w:rPr>
        <w:t>Dilmaghani</w:t>
      </w:r>
      <w:proofErr w:type="spellEnd"/>
      <w:r w:rsidRPr="002F4250">
        <w:rPr>
          <w:rFonts w:ascii="Times New Roman" w:hAnsi="Times New Roman" w:cs="Times New Roman"/>
          <w:sz w:val="24"/>
          <w:szCs w:val="24"/>
        </w:rPr>
        <w:t xml:space="preserve">, Department of Economics, </w:t>
      </w:r>
      <w:proofErr w:type="spellStart"/>
      <w:r w:rsidRPr="002F4250">
        <w:rPr>
          <w:rFonts w:ascii="Times New Roman" w:hAnsi="Times New Roman" w:cs="Times New Roman"/>
          <w:sz w:val="24"/>
          <w:szCs w:val="24"/>
        </w:rPr>
        <w:t>Sobey</w:t>
      </w:r>
      <w:proofErr w:type="spellEnd"/>
      <w:r w:rsidRPr="002F4250">
        <w:rPr>
          <w:rFonts w:ascii="Times New Roman" w:hAnsi="Times New Roman" w:cs="Times New Roman"/>
          <w:sz w:val="24"/>
          <w:szCs w:val="24"/>
        </w:rPr>
        <w:t xml:space="preserve"> School of Business, Saint Mary’s University</w:t>
      </w:r>
    </w:p>
    <w:p w:rsidR="00BF5751" w:rsidRPr="002F4250" w:rsidRDefault="00BF5751" w:rsidP="00FC5CB4">
      <w:pPr>
        <w:spacing w:line="360" w:lineRule="auto"/>
        <w:jc w:val="both"/>
        <w:rPr>
          <w:rFonts w:ascii="Times New Roman" w:hAnsi="Times New Roman" w:cs="Times New Roman"/>
          <w:b/>
        </w:rPr>
      </w:pPr>
    </w:p>
    <w:p w:rsidR="00BF5751" w:rsidRPr="002F4250" w:rsidRDefault="00BF5751" w:rsidP="00FC5CB4">
      <w:pPr>
        <w:spacing w:line="360" w:lineRule="auto"/>
        <w:jc w:val="both"/>
        <w:rPr>
          <w:rFonts w:ascii="Times New Roman" w:hAnsi="Times New Roman" w:cs="Times New Roman"/>
          <w:b/>
        </w:rPr>
      </w:pPr>
    </w:p>
    <w:p w:rsidR="00BF5751" w:rsidRPr="002F4250" w:rsidRDefault="00BF5751" w:rsidP="00FC5CB4">
      <w:pPr>
        <w:spacing w:line="360" w:lineRule="auto"/>
        <w:jc w:val="both"/>
        <w:rPr>
          <w:rFonts w:ascii="Times New Roman" w:hAnsi="Times New Roman" w:cs="Times New Roman"/>
          <w:b/>
        </w:rPr>
      </w:pPr>
    </w:p>
    <w:p w:rsidR="00FC5CB4" w:rsidRPr="002F4250" w:rsidRDefault="00FC5CB4" w:rsidP="00FC5CB4">
      <w:pPr>
        <w:spacing w:line="360" w:lineRule="auto"/>
        <w:jc w:val="both"/>
        <w:rPr>
          <w:rFonts w:ascii="Times New Roman" w:hAnsi="Times New Roman" w:cs="Times New Roman"/>
          <w:b/>
        </w:rPr>
      </w:pPr>
      <w:r w:rsidRPr="002F4250">
        <w:rPr>
          <w:rFonts w:ascii="Times New Roman" w:hAnsi="Times New Roman" w:cs="Times New Roman"/>
          <w:b/>
        </w:rPr>
        <w:t>Abstract</w:t>
      </w:r>
    </w:p>
    <w:p w:rsidR="00FC5CB4" w:rsidRPr="002F4250" w:rsidRDefault="00FC5CB4" w:rsidP="00FC5CB4">
      <w:pPr>
        <w:spacing w:line="360" w:lineRule="auto"/>
        <w:jc w:val="both"/>
        <w:rPr>
          <w:rFonts w:ascii="Times New Roman" w:hAnsi="Times New Roman" w:cs="Times New Roman"/>
        </w:rPr>
      </w:pPr>
      <w:r w:rsidRPr="002F4250">
        <w:rPr>
          <w:rFonts w:ascii="Times New Roman" w:hAnsi="Times New Roman" w:cs="Times New Roman"/>
        </w:rPr>
        <w:t>Using the General Social Survey of 2011, this paper investigates ho</w:t>
      </w:r>
      <w:r w:rsidR="00BF7F62" w:rsidRPr="002F4250">
        <w:rPr>
          <w:rFonts w:ascii="Times New Roman" w:hAnsi="Times New Roman" w:cs="Times New Roman"/>
        </w:rPr>
        <w:t>w financial</w:t>
      </w:r>
      <w:r w:rsidRPr="002F4250">
        <w:rPr>
          <w:rFonts w:ascii="Times New Roman" w:hAnsi="Times New Roman" w:cs="Times New Roman"/>
        </w:rPr>
        <w:t xml:space="preserve"> </w:t>
      </w:r>
      <w:r w:rsidR="005F54B0" w:rsidRPr="002F4250">
        <w:rPr>
          <w:rFonts w:ascii="Times New Roman" w:hAnsi="Times New Roman" w:cs="Times New Roman"/>
        </w:rPr>
        <w:t xml:space="preserve">vulnerability </w:t>
      </w:r>
      <w:r w:rsidR="00BF7F62" w:rsidRPr="002F4250">
        <w:rPr>
          <w:rFonts w:ascii="Times New Roman" w:hAnsi="Times New Roman" w:cs="Times New Roman"/>
        </w:rPr>
        <w:t xml:space="preserve">varies across Canadian provinces, for a sample of </w:t>
      </w:r>
      <w:r w:rsidR="000343DA" w:rsidRPr="002F4250">
        <w:rPr>
          <w:rFonts w:ascii="Times New Roman" w:hAnsi="Times New Roman" w:cs="Times New Roman"/>
        </w:rPr>
        <w:t xml:space="preserve">adults </w:t>
      </w:r>
      <w:r w:rsidR="00BF7F62" w:rsidRPr="002F4250">
        <w:rPr>
          <w:rFonts w:ascii="Times New Roman" w:hAnsi="Times New Roman" w:cs="Times New Roman"/>
        </w:rPr>
        <w:t>between 25 and 45 years of age</w:t>
      </w:r>
      <w:r w:rsidR="005F54B0" w:rsidRPr="002F4250">
        <w:rPr>
          <w:rFonts w:ascii="Times New Roman" w:hAnsi="Times New Roman" w:cs="Times New Roman"/>
        </w:rPr>
        <w:t>. Financial vulnerability</w:t>
      </w:r>
      <w:r w:rsidRPr="002F4250">
        <w:rPr>
          <w:rFonts w:ascii="Times New Roman" w:hAnsi="Times New Roman" w:cs="Times New Roman"/>
        </w:rPr>
        <w:t xml:space="preserve"> is defined as an indicator of the </w:t>
      </w:r>
      <w:r w:rsidR="006215EC" w:rsidRPr="002F4250">
        <w:rPr>
          <w:rFonts w:ascii="Times New Roman" w:hAnsi="Times New Roman" w:cs="Times New Roman"/>
        </w:rPr>
        <w:t>dis</w:t>
      </w:r>
      <w:r w:rsidRPr="002F4250">
        <w:rPr>
          <w:rFonts w:ascii="Times New Roman" w:hAnsi="Times New Roman" w:cs="Times New Roman"/>
        </w:rPr>
        <w:t xml:space="preserve">proportionality of household consumption relative to its income. The results show that </w:t>
      </w:r>
      <w:r w:rsidR="0093390C" w:rsidRPr="002F4250">
        <w:rPr>
          <w:rFonts w:ascii="Times New Roman" w:hAnsi="Times New Roman" w:cs="Times New Roman"/>
        </w:rPr>
        <w:t>young ad</w:t>
      </w:r>
      <w:r w:rsidR="006215EC" w:rsidRPr="002F4250">
        <w:rPr>
          <w:rFonts w:ascii="Times New Roman" w:hAnsi="Times New Roman" w:cs="Times New Roman"/>
        </w:rPr>
        <w:t>ult</w:t>
      </w:r>
      <w:r w:rsidR="00B52AD6" w:rsidRPr="002F4250">
        <w:rPr>
          <w:rFonts w:ascii="Times New Roman" w:hAnsi="Times New Roman" w:cs="Times New Roman"/>
        </w:rPr>
        <w:t>s</w:t>
      </w:r>
      <w:r w:rsidR="0093390C" w:rsidRPr="002F4250">
        <w:rPr>
          <w:rFonts w:ascii="Times New Roman" w:hAnsi="Times New Roman" w:cs="Times New Roman"/>
        </w:rPr>
        <w:t xml:space="preserve"> residing in Nova Scotia </w:t>
      </w:r>
      <w:r w:rsidR="006215EC" w:rsidRPr="002F4250">
        <w:rPr>
          <w:rFonts w:ascii="Times New Roman" w:hAnsi="Times New Roman" w:cs="Times New Roman"/>
        </w:rPr>
        <w:t>(</w:t>
      </w:r>
      <w:r w:rsidR="008303C1" w:rsidRPr="002F4250">
        <w:rPr>
          <w:rFonts w:ascii="Times New Roman" w:hAnsi="Times New Roman" w:cs="Times New Roman"/>
        </w:rPr>
        <w:t>Newfoundland and Labrador</w:t>
      </w:r>
      <w:r w:rsidR="006215EC" w:rsidRPr="002F4250">
        <w:rPr>
          <w:rFonts w:ascii="Times New Roman" w:hAnsi="Times New Roman" w:cs="Times New Roman"/>
        </w:rPr>
        <w:t xml:space="preserve">) </w:t>
      </w:r>
      <w:r w:rsidR="0093390C" w:rsidRPr="002F4250">
        <w:rPr>
          <w:rFonts w:ascii="Times New Roman" w:hAnsi="Times New Roman" w:cs="Times New Roman"/>
        </w:rPr>
        <w:t xml:space="preserve">are statistically significantly more </w:t>
      </w:r>
      <w:r w:rsidR="006215EC" w:rsidRPr="002F4250">
        <w:rPr>
          <w:rFonts w:ascii="Times New Roman" w:hAnsi="Times New Roman" w:cs="Times New Roman"/>
        </w:rPr>
        <w:t xml:space="preserve">(less) </w:t>
      </w:r>
      <w:r w:rsidR="0093390C" w:rsidRPr="002F4250">
        <w:rPr>
          <w:rFonts w:ascii="Times New Roman" w:hAnsi="Times New Roman" w:cs="Times New Roman"/>
        </w:rPr>
        <w:t xml:space="preserve">vulnerable than </w:t>
      </w:r>
      <w:r w:rsidR="002E3053" w:rsidRPr="002F4250">
        <w:rPr>
          <w:rFonts w:ascii="Times New Roman" w:hAnsi="Times New Roman" w:cs="Times New Roman"/>
        </w:rPr>
        <w:t xml:space="preserve">the </w:t>
      </w:r>
      <w:r w:rsidR="00B52AD6" w:rsidRPr="002F4250">
        <w:rPr>
          <w:rFonts w:ascii="Times New Roman" w:hAnsi="Times New Roman" w:cs="Times New Roman"/>
        </w:rPr>
        <w:t xml:space="preserve">residents </w:t>
      </w:r>
      <w:r w:rsidR="00013ECD" w:rsidRPr="002F4250">
        <w:rPr>
          <w:rFonts w:ascii="Times New Roman" w:hAnsi="Times New Roman" w:cs="Times New Roman"/>
        </w:rPr>
        <w:t>of other provinces</w:t>
      </w:r>
      <w:r w:rsidR="0093390C" w:rsidRPr="002F4250">
        <w:rPr>
          <w:rFonts w:ascii="Times New Roman" w:hAnsi="Times New Roman" w:cs="Times New Roman"/>
        </w:rPr>
        <w:t>, controlling for a wide array of characteristics</w:t>
      </w:r>
      <w:r w:rsidR="006215EC" w:rsidRPr="002F4250">
        <w:rPr>
          <w:rFonts w:ascii="Times New Roman" w:hAnsi="Times New Roman" w:cs="Times New Roman"/>
        </w:rPr>
        <w:t>, including income</w:t>
      </w:r>
      <w:r w:rsidR="00BD6F83" w:rsidRPr="002F4250">
        <w:rPr>
          <w:rFonts w:ascii="Times New Roman" w:hAnsi="Times New Roman" w:cs="Times New Roman"/>
        </w:rPr>
        <w:t xml:space="preserve">. Across the country, immigrants of these </w:t>
      </w:r>
      <w:r w:rsidR="006A1BFA" w:rsidRPr="002F4250">
        <w:rPr>
          <w:rFonts w:ascii="Times New Roman" w:hAnsi="Times New Roman" w:cs="Times New Roman"/>
        </w:rPr>
        <w:t xml:space="preserve">age </w:t>
      </w:r>
      <w:r w:rsidR="00BD6F83" w:rsidRPr="002F4250">
        <w:rPr>
          <w:rFonts w:ascii="Times New Roman" w:hAnsi="Times New Roman" w:cs="Times New Roman"/>
        </w:rPr>
        <w:t>cohorts are found more likely to be financially vulnerable</w:t>
      </w:r>
      <w:r w:rsidR="00013ECD" w:rsidRPr="002F4250">
        <w:rPr>
          <w:rFonts w:ascii="Times New Roman" w:hAnsi="Times New Roman" w:cs="Times New Roman"/>
        </w:rPr>
        <w:t xml:space="preserve"> than</w:t>
      </w:r>
      <w:r w:rsidR="00482206" w:rsidRPr="002F4250">
        <w:rPr>
          <w:rFonts w:ascii="Times New Roman" w:hAnsi="Times New Roman" w:cs="Times New Roman"/>
        </w:rPr>
        <w:t xml:space="preserve"> comparable </w:t>
      </w:r>
      <w:r w:rsidR="003510EC" w:rsidRPr="002F4250">
        <w:rPr>
          <w:rFonts w:ascii="Times New Roman" w:hAnsi="Times New Roman" w:cs="Times New Roman"/>
        </w:rPr>
        <w:t>non-immigrants.</w:t>
      </w:r>
      <w:r w:rsidR="00203D7A" w:rsidRPr="002F4250">
        <w:rPr>
          <w:rFonts w:ascii="Times New Roman" w:hAnsi="Times New Roman" w:cs="Times New Roman"/>
        </w:rPr>
        <w:t xml:space="preserve"> </w:t>
      </w:r>
      <w:r w:rsidR="003510EC" w:rsidRPr="002F4250">
        <w:rPr>
          <w:rFonts w:ascii="Times New Roman" w:hAnsi="Times New Roman" w:cs="Times New Roman"/>
        </w:rPr>
        <w:t>When c</w:t>
      </w:r>
      <w:r w:rsidR="00203D7A" w:rsidRPr="002F4250">
        <w:rPr>
          <w:rFonts w:ascii="Times New Roman" w:hAnsi="Times New Roman" w:cs="Times New Roman"/>
        </w:rPr>
        <w:t xml:space="preserve">ontrolling for immigration status, </w:t>
      </w:r>
      <w:r w:rsidR="00996365" w:rsidRPr="002F4250">
        <w:rPr>
          <w:rFonts w:ascii="Times New Roman" w:hAnsi="Times New Roman" w:cs="Times New Roman"/>
        </w:rPr>
        <w:t>visible minorities</w:t>
      </w:r>
      <w:r w:rsidR="0058355A" w:rsidRPr="002F4250">
        <w:rPr>
          <w:rFonts w:ascii="Times New Roman" w:hAnsi="Times New Roman" w:cs="Times New Roman"/>
        </w:rPr>
        <w:t xml:space="preserve"> </w:t>
      </w:r>
      <w:r w:rsidR="00996365" w:rsidRPr="002F4250">
        <w:rPr>
          <w:rFonts w:ascii="Times New Roman" w:hAnsi="Times New Roman" w:cs="Times New Roman"/>
        </w:rPr>
        <w:t>did not statistically sign</w:t>
      </w:r>
      <w:r w:rsidR="00482206" w:rsidRPr="002F4250">
        <w:rPr>
          <w:rFonts w:ascii="Times New Roman" w:hAnsi="Times New Roman" w:cs="Times New Roman"/>
        </w:rPr>
        <w:t>ificantly differ from the</w:t>
      </w:r>
      <w:r w:rsidR="003510EC" w:rsidRPr="002F4250">
        <w:rPr>
          <w:rFonts w:ascii="Times New Roman" w:hAnsi="Times New Roman" w:cs="Times New Roman"/>
        </w:rPr>
        <w:t>ir</w:t>
      </w:r>
      <w:r w:rsidR="00482206" w:rsidRPr="002F4250">
        <w:rPr>
          <w:rFonts w:ascii="Times New Roman" w:hAnsi="Times New Roman" w:cs="Times New Roman"/>
        </w:rPr>
        <w:t xml:space="preserve"> Canadian</w:t>
      </w:r>
      <w:r w:rsidR="00996365" w:rsidRPr="002F4250">
        <w:rPr>
          <w:rFonts w:ascii="Times New Roman" w:hAnsi="Times New Roman" w:cs="Times New Roman"/>
        </w:rPr>
        <w:t>-born</w:t>
      </w:r>
      <w:r w:rsidR="003510EC" w:rsidRPr="002F4250">
        <w:rPr>
          <w:rFonts w:ascii="Times New Roman" w:hAnsi="Times New Roman" w:cs="Times New Roman"/>
        </w:rPr>
        <w:t xml:space="preserve"> counterparts</w:t>
      </w:r>
      <w:r w:rsidR="00203D7A" w:rsidRPr="002F4250">
        <w:rPr>
          <w:rFonts w:ascii="Times New Roman" w:hAnsi="Times New Roman" w:cs="Times New Roman"/>
        </w:rPr>
        <w:t>.</w:t>
      </w: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p>
    <w:p w:rsidR="00BF5751" w:rsidRPr="002F4250" w:rsidRDefault="00BF5751">
      <w:pPr>
        <w:rPr>
          <w:rFonts w:ascii="Times New Roman" w:hAnsi="Times New Roman" w:cs="Times New Roman"/>
          <w:b/>
          <w:sz w:val="28"/>
          <w:szCs w:val="28"/>
        </w:rPr>
      </w:pPr>
    </w:p>
    <w:p w:rsidR="00FC5CB4" w:rsidRPr="002F4250" w:rsidRDefault="00FC5CB4">
      <w:pPr>
        <w:rPr>
          <w:rFonts w:ascii="Times New Roman" w:hAnsi="Times New Roman" w:cs="Times New Roman"/>
          <w:b/>
          <w:sz w:val="28"/>
          <w:szCs w:val="28"/>
        </w:rPr>
      </w:pPr>
      <w:r w:rsidRPr="002F4250">
        <w:rPr>
          <w:rFonts w:ascii="Times New Roman" w:hAnsi="Times New Roman" w:cs="Times New Roman"/>
          <w:b/>
          <w:sz w:val="28"/>
          <w:szCs w:val="28"/>
        </w:rPr>
        <w:lastRenderedPageBreak/>
        <w:t>I. Introduction</w:t>
      </w:r>
    </w:p>
    <w:p w:rsidR="00BF5751" w:rsidRPr="002F4250" w:rsidRDefault="00463246" w:rsidP="00D81D50">
      <w:pPr>
        <w:spacing w:line="480" w:lineRule="auto"/>
        <w:ind w:firstLine="720"/>
        <w:jc w:val="both"/>
        <w:rPr>
          <w:rFonts w:ascii="Times New Roman" w:hAnsi="Times New Roman" w:cs="Times New Roman"/>
        </w:rPr>
      </w:pPr>
      <w:r w:rsidRPr="002F4250">
        <w:rPr>
          <w:rFonts w:ascii="Times New Roman" w:hAnsi="Times New Roman" w:cs="Times New Roman"/>
        </w:rPr>
        <w:t>In recent years, various reports suggest that</w:t>
      </w:r>
      <w:r w:rsidR="00D81D50" w:rsidRPr="002F4250">
        <w:rPr>
          <w:rFonts w:ascii="Times New Roman" w:hAnsi="Times New Roman" w:cs="Times New Roman"/>
        </w:rPr>
        <w:t xml:space="preserve"> </w:t>
      </w:r>
      <w:r w:rsidR="00BF5751" w:rsidRPr="002F4250">
        <w:rPr>
          <w:rFonts w:ascii="Times New Roman" w:hAnsi="Times New Roman" w:cs="Times New Roman"/>
        </w:rPr>
        <w:t xml:space="preserve">Canadian households, especially the younger ones, are over-extended in debt (Chawla &amp; </w:t>
      </w:r>
      <w:proofErr w:type="spellStart"/>
      <w:r w:rsidR="00BF5751" w:rsidRPr="002F4250">
        <w:rPr>
          <w:rFonts w:ascii="Times New Roman" w:hAnsi="Times New Roman" w:cs="Times New Roman"/>
        </w:rPr>
        <w:t>Uppal</w:t>
      </w:r>
      <w:proofErr w:type="spellEnd"/>
      <w:r w:rsidR="00BF5751" w:rsidRPr="002F4250">
        <w:rPr>
          <w:rFonts w:ascii="Times New Roman" w:hAnsi="Times New Roman" w:cs="Times New Roman"/>
        </w:rPr>
        <w:t xml:space="preserve">, 2012; Alexander &amp; Jacobson, 2015). </w:t>
      </w:r>
      <w:r w:rsidR="003A600F" w:rsidRPr="002F4250">
        <w:rPr>
          <w:rFonts w:ascii="Times New Roman" w:hAnsi="Times New Roman" w:cs="Times New Roman"/>
        </w:rPr>
        <w:t>This trend has started in the 2000s (</w:t>
      </w:r>
      <w:proofErr w:type="spellStart"/>
      <w:r w:rsidR="003A600F" w:rsidRPr="002F4250">
        <w:rPr>
          <w:rFonts w:ascii="Times New Roman" w:hAnsi="Times New Roman" w:cs="Times New Roman"/>
        </w:rPr>
        <w:t>Faruqui</w:t>
      </w:r>
      <w:proofErr w:type="spellEnd"/>
      <w:r w:rsidR="003A600F" w:rsidRPr="002F4250">
        <w:rPr>
          <w:rFonts w:ascii="Times New Roman" w:hAnsi="Times New Roman" w:cs="Times New Roman"/>
        </w:rPr>
        <w:t>, 2008), and is exacerbated by the low interest-rates of the post Great recession era</w:t>
      </w:r>
      <w:r w:rsidR="006A727F" w:rsidRPr="002F4250">
        <w:rPr>
          <w:rFonts w:ascii="Times New Roman" w:hAnsi="Times New Roman" w:cs="Times New Roman"/>
        </w:rPr>
        <w:t xml:space="preserve"> (W</w:t>
      </w:r>
      <w:r w:rsidR="009F7BE4" w:rsidRPr="002F4250">
        <w:rPr>
          <w:rFonts w:ascii="Times New Roman" w:hAnsi="Times New Roman" w:cs="Times New Roman"/>
        </w:rPr>
        <w:t>alks, 2013)</w:t>
      </w:r>
      <w:r w:rsidR="003A600F" w:rsidRPr="002F4250">
        <w:rPr>
          <w:rFonts w:ascii="Times New Roman" w:hAnsi="Times New Roman" w:cs="Times New Roman"/>
        </w:rPr>
        <w:t xml:space="preserve">. </w:t>
      </w:r>
      <w:r w:rsidR="00BF5751" w:rsidRPr="002F4250">
        <w:rPr>
          <w:rFonts w:ascii="Times New Roman" w:hAnsi="Times New Roman" w:cs="Times New Roman"/>
        </w:rPr>
        <w:t>According to the Canadian General Social Survey</w:t>
      </w:r>
      <w:r w:rsidR="00052DD6" w:rsidRPr="002F4250">
        <w:rPr>
          <w:rFonts w:ascii="Times New Roman" w:hAnsi="Times New Roman" w:cs="Times New Roman"/>
        </w:rPr>
        <w:t xml:space="preserve"> (GSS-2011)</w:t>
      </w:r>
      <w:r w:rsidR="00BF5751" w:rsidRPr="002F4250">
        <w:rPr>
          <w:rFonts w:ascii="Times New Roman" w:hAnsi="Times New Roman" w:cs="Times New Roman"/>
        </w:rPr>
        <w:t xml:space="preserve">, about 14% of Canadians between 25 and 45 years of age were unable to pay at least one of their bills during the year 2010, while 18% reported being left with nothing after paying for their necessary expenses. Financial vulnerability of a household can be evaluated based on its ability to pay for its current expenses and service its debts, while maintaining an emergency fund. </w:t>
      </w:r>
      <w:r w:rsidR="000A229F" w:rsidRPr="002F4250">
        <w:rPr>
          <w:rFonts w:ascii="Times New Roman" w:hAnsi="Times New Roman" w:cs="Times New Roman"/>
        </w:rPr>
        <w:t xml:space="preserve">Inquiry into the spread of financial vulnerability among the younger cohorts is important for several reasons. First, in the post Great Recession era, </w:t>
      </w:r>
      <w:r w:rsidR="00BF5751" w:rsidRPr="002F4250">
        <w:rPr>
          <w:rFonts w:ascii="Times New Roman" w:hAnsi="Times New Roman" w:cs="Times New Roman"/>
        </w:rPr>
        <w:t xml:space="preserve">job insecurity </w:t>
      </w:r>
      <w:r w:rsidR="000A229F" w:rsidRPr="002F4250">
        <w:rPr>
          <w:rFonts w:ascii="Times New Roman" w:hAnsi="Times New Roman" w:cs="Times New Roman"/>
        </w:rPr>
        <w:t xml:space="preserve">has become </w:t>
      </w:r>
      <w:r w:rsidR="00BF5751" w:rsidRPr="002F4250">
        <w:rPr>
          <w:rFonts w:ascii="Times New Roman" w:hAnsi="Times New Roman" w:cs="Times New Roman"/>
        </w:rPr>
        <w:t>a ubiquitous concern.</w:t>
      </w:r>
      <w:r w:rsidR="000A229F" w:rsidRPr="002F4250">
        <w:rPr>
          <w:rFonts w:ascii="Times New Roman" w:hAnsi="Times New Roman" w:cs="Times New Roman"/>
        </w:rPr>
        <w:t xml:space="preserve"> The absence of financial resilience makes the consequences of a job loss much direr for the individual and the economy as a whole</w:t>
      </w:r>
      <w:r w:rsidR="003423E7" w:rsidRPr="002F4250">
        <w:rPr>
          <w:rFonts w:ascii="Times New Roman" w:hAnsi="Times New Roman" w:cs="Times New Roman"/>
        </w:rPr>
        <w:t xml:space="preserve"> (</w:t>
      </w:r>
      <w:proofErr w:type="spellStart"/>
      <w:r w:rsidR="003423E7" w:rsidRPr="002F4250">
        <w:rPr>
          <w:rFonts w:ascii="Times New Roman" w:hAnsi="Times New Roman" w:cs="Times New Roman"/>
        </w:rPr>
        <w:t>Zmitrowicz</w:t>
      </w:r>
      <w:proofErr w:type="spellEnd"/>
      <w:r w:rsidR="003423E7" w:rsidRPr="002F4250">
        <w:rPr>
          <w:rFonts w:ascii="Times New Roman" w:hAnsi="Times New Roman" w:cs="Times New Roman"/>
        </w:rPr>
        <w:t>, &amp; Khan, 2014).</w:t>
      </w:r>
      <w:r w:rsidR="000A229F" w:rsidRPr="002F4250">
        <w:rPr>
          <w:rFonts w:ascii="Times New Roman" w:hAnsi="Times New Roman" w:cs="Times New Roman"/>
        </w:rPr>
        <w:t xml:space="preserve"> Second, it has been reported that a housing market correction is looming upon the Canadian economy</w:t>
      </w:r>
      <w:r w:rsidR="003423E7" w:rsidRPr="002F4250">
        <w:rPr>
          <w:rFonts w:ascii="Times New Roman" w:hAnsi="Times New Roman" w:cs="Times New Roman"/>
        </w:rPr>
        <w:t xml:space="preserve"> (Macdonald, 2015)</w:t>
      </w:r>
      <w:r w:rsidR="000A229F" w:rsidRPr="002F4250">
        <w:rPr>
          <w:rFonts w:ascii="Times New Roman" w:hAnsi="Times New Roman" w:cs="Times New Roman"/>
        </w:rPr>
        <w:t>. The vulnerability of these cohorts, more li</w:t>
      </w:r>
      <w:r w:rsidR="000343DA" w:rsidRPr="002F4250">
        <w:rPr>
          <w:rFonts w:ascii="Times New Roman" w:hAnsi="Times New Roman" w:cs="Times New Roman"/>
        </w:rPr>
        <w:t>kely to be active in the housing market,</w:t>
      </w:r>
      <w:r w:rsidR="000A229F" w:rsidRPr="002F4250">
        <w:rPr>
          <w:rFonts w:ascii="Times New Roman" w:hAnsi="Times New Roman" w:cs="Times New Roman"/>
        </w:rPr>
        <w:t xml:space="preserve"> </w:t>
      </w:r>
      <w:r w:rsidR="006A727F" w:rsidRPr="002F4250">
        <w:rPr>
          <w:rFonts w:ascii="Times New Roman" w:hAnsi="Times New Roman" w:cs="Times New Roman"/>
        </w:rPr>
        <w:t>is consequential for the entire</w:t>
      </w:r>
      <w:r w:rsidR="00F97A92" w:rsidRPr="002F4250">
        <w:rPr>
          <w:rFonts w:ascii="Times New Roman" w:hAnsi="Times New Roman" w:cs="Times New Roman"/>
        </w:rPr>
        <w:t xml:space="preserve"> financial sector of the country</w:t>
      </w:r>
      <w:r w:rsidR="000A229F" w:rsidRPr="002F4250">
        <w:rPr>
          <w:rFonts w:ascii="Times New Roman" w:hAnsi="Times New Roman" w:cs="Times New Roman"/>
        </w:rPr>
        <w:t>.</w:t>
      </w:r>
    </w:p>
    <w:p w:rsidR="000A229F" w:rsidRPr="002F4250" w:rsidRDefault="006A727F" w:rsidP="00D81D50">
      <w:pPr>
        <w:spacing w:line="480" w:lineRule="auto"/>
        <w:ind w:firstLine="720"/>
        <w:jc w:val="both"/>
        <w:rPr>
          <w:rFonts w:ascii="Times New Roman" w:hAnsi="Times New Roman" w:cs="Times New Roman"/>
        </w:rPr>
      </w:pPr>
      <w:r w:rsidRPr="002F4250">
        <w:rPr>
          <w:rFonts w:ascii="Times New Roman" w:hAnsi="Times New Roman" w:cs="Times New Roman"/>
        </w:rPr>
        <w:t xml:space="preserve">This paper, using </w:t>
      </w:r>
      <w:r w:rsidR="00052DD6" w:rsidRPr="002F4250">
        <w:rPr>
          <w:rFonts w:ascii="Times New Roman" w:hAnsi="Times New Roman" w:cs="Times New Roman"/>
        </w:rPr>
        <w:t>the GSS-</w:t>
      </w:r>
      <w:r w:rsidRPr="002F4250">
        <w:rPr>
          <w:rFonts w:ascii="Times New Roman" w:hAnsi="Times New Roman" w:cs="Times New Roman"/>
        </w:rPr>
        <w:t xml:space="preserve">2011 data, identifies financially vulnerable individuals, based on the proportionality of their consumption to their income. </w:t>
      </w:r>
      <w:r w:rsidR="000A229F" w:rsidRPr="002F4250">
        <w:rPr>
          <w:rFonts w:ascii="Times New Roman" w:hAnsi="Times New Roman" w:cs="Times New Roman"/>
        </w:rPr>
        <w:t>A first look at the data shows significant variation</w:t>
      </w:r>
      <w:r w:rsidR="004E4804" w:rsidRPr="002F4250">
        <w:rPr>
          <w:rFonts w:ascii="Times New Roman" w:hAnsi="Times New Roman" w:cs="Times New Roman"/>
        </w:rPr>
        <w:t>s</w:t>
      </w:r>
      <w:r w:rsidR="000A229F" w:rsidRPr="002F4250">
        <w:rPr>
          <w:rFonts w:ascii="Times New Roman" w:hAnsi="Times New Roman" w:cs="Times New Roman"/>
        </w:rPr>
        <w:t xml:space="preserve"> across Canadian provinces</w:t>
      </w:r>
      <w:r w:rsidR="000343DA" w:rsidRPr="002F4250">
        <w:rPr>
          <w:rFonts w:ascii="Times New Roman" w:hAnsi="Times New Roman" w:cs="Times New Roman"/>
        </w:rPr>
        <w:t>,</w:t>
      </w:r>
      <w:r w:rsidR="000A229F" w:rsidRPr="002F4250">
        <w:rPr>
          <w:rFonts w:ascii="Times New Roman" w:hAnsi="Times New Roman" w:cs="Times New Roman"/>
        </w:rPr>
        <w:t xml:space="preserve"> in the financial vulnerabilit</w:t>
      </w:r>
      <w:r w:rsidR="00F97A92" w:rsidRPr="002F4250">
        <w:rPr>
          <w:rFonts w:ascii="Times New Roman" w:hAnsi="Times New Roman" w:cs="Times New Roman"/>
        </w:rPr>
        <w:t>y of their residents</w:t>
      </w:r>
      <w:r w:rsidR="006C65D9" w:rsidRPr="002F4250">
        <w:rPr>
          <w:rFonts w:ascii="Times New Roman" w:hAnsi="Times New Roman" w:cs="Times New Roman"/>
        </w:rPr>
        <w:t>, when the sample is restricted to younger cohorts</w:t>
      </w:r>
      <w:r w:rsidR="00F97A92" w:rsidRPr="002F4250">
        <w:rPr>
          <w:rFonts w:ascii="Times New Roman" w:hAnsi="Times New Roman" w:cs="Times New Roman"/>
        </w:rPr>
        <w:t>. The present study</w:t>
      </w:r>
      <w:r w:rsidR="000A229F" w:rsidRPr="002F4250">
        <w:rPr>
          <w:rFonts w:ascii="Times New Roman" w:hAnsi="Times New Roman" w:cs="Times New Roman"/>
        </w:rPr>
        <w:t xml:space="preserve"> aims at examining the robustness of this geographic pattern, while controllin</w:t>
      </w:r>
      <w:r w:rsidR="000343DA" w:rsidRPr="002F4250">
        <w:rPr>
          <w:rFonts w:ascii="Times New Roman" w:hAnsi="Times New Roman" w:cs="Times New Roman"/>
        </w:rPr>
        <w:t>g for various correlates</w:t>
      </w:r>
      <w:r w:rsidR="000A229F" w:rsidRPr="002F4250">
        <w:rPr>
          <w:rFonts w:ascii="Times New Roman" w:hAnsi="Times New Roman" w:cs="Times New Roman"/>
        </w:rPr>
        <w:t xml:space="preserve"> of financial vulnerability.</w:t>
      </w:r>
    </w:p>
    <w:p w:rsidR="00707ED5" w:rsidRDefault="00707ED5" w:rsidP="009A132B">
      <w:pPr>
        <w:spacing w:line="480" w:lineRule="auto"/>
        <w:jc w:val="both"/>
        <w:rPr>
          <w:rFonts w:ascii="Times New Roman" w:hAnsi="Times New Roman" w:cs="Times New Roman"/>
          <w:b/>
          <w:sz w:val="28"/>
          <w:szCs w:val="28"/>
        </w:rPr>
      </w:pPr>
      <w:r>
        <w:rPr>
          <w:rFonts w:ascii="Times New Roman" w:hAnsi="Times New Roman" w:cs="Times New Roman"/>
          <w:b/>
          <w:sz w:val="28"/>
          <w:szCs w:val="28"/>
        </w:rPr>
        <w:br/>
      </w:r>
    </w:p>
    <w:p w:rsidR="00707ED5" w:rsidRDefault="00707ED5">
      <w:pPr>
        <w:rPr>
          <w:rFonts w:ascii="Times New Roman" w:hAnsi="Times New Roman" w:cs="Times New Roman"/>
          <w:b/>
          <w:sz w:val="28"/>
          <w:szCs w:val="28"/>
        </w:rPr>
      </w:pPr>
      <w:r>
        <w:rPr>
          <w:rFonts w:ascii="Times New Roman" w:hAnsi="Times New Roman" w:cs="Times New Roman"/>
          <w:b/>
          <w:sz w:val="28"/>
          <w:szCs w:val="28"/>
        </w:rPr>
        <w:br w:type="page"/>
      </w:r>
    </w:p>
    <w:p w:rsidR="009A132B" w:rsidRPr="002F4250" w:rsidRDefault="000A229F" w:rsidP="009A132B">
      <w:pPr>
        <w:spacing w:line="480" w:lineRule="auto"/>
        <w:jc w:val="both"/>
        <w:rPr>
          <w:rFonts w:ascii="Times New Roman" w:hAnsi="Times New Roman" w:cs="Times New Roman"/>
          <w:b/>
          <w:sz w:val="28"/>
          <w:szCs w:val="28"/>
        </w:rPr>
      </w:pPr>
      <w:r w:rsidRPr="002F4250">
        <w:rPr>
          <w:rFonts w:ascii="Times New Roman" w:hAnsi="Times New Roman" w:cs="Times New Roman"/>
          <w:b/>
          <w:sz w:val="28"/>
          <w:szCs w:val="28"/>
        </w:rPr>
        <w:lastRenderedPageBreak/>
        <w:t>II. Data</w:t>
      </w:r>
      <w:r w:rsidR="009A132B" w:rsidRPr="002F4250">
        <w:rPr>
          <w:rFonts w:ascii="Times New Roman" w:hAnsi="Times New Roman" w:cs="Times New Roman"/>
          <w:b/>
          <w:sz w:val="28"/>
          <w:szCs w:val="28"/>
        </w:rPr>
        <w:t xml:space="preserve"> and Methodology</w:t>
      </w:r>
    </w:p>
    <w:p w:rsidR="00FC5CB4" w:rsidRPr="002F4250" w:rsidRDefault="00FC5CB4" w:rsidP="009A132B">
      <w:pPr>
        <w:spacing w:line="480" w:lineRule="auto"/>
        <w:ind w:firstLine="720"/>
        <w:jc w:val="both"/>
        <w:rPr>
          <w:rFonts w:ascii="Times New Roman" w:hAnsi="Times New Roman" w:cs="Times New Roman"/>
        </w:rPr>
      </w:pPr>
      <w:r w:rsidRPr="002F4250">
        <w:rPr>
          <w:rFonts w:ascii="Times New Roman" w:hAnsi="Times New Roman" w:cs="Times New Roman"/>
        </w:rPr>
        <w:t>The analysis is conducted using the 2011 cycle of the Canadian General Social Survey, administered by Statistics Canada</w:t>
      </w:r>
      <w:r w:rsidR="006104C2" w:rsidRPr="002F4250">
        <w:rPr>
          <w:rFonts w:ascii="Times New Roman" w:hAnsi="Times New Roman" w:cs="Times New Roman"/>
        </w:rPr>
        <w:t xml:space="preserve">, </w:t>
      </w:r>
      <w:r w:rsidR="00B74C24" w:rsidRPr="002F4250">
        <w:rPr>
          <w:rFonts w:ascii="Times New Roman" w:hAnsi="Times New Roman" w:cs="Times New Roman"/>
        </w:rPr>
        <w:t xml:space="preserve">and </w:t>
      </w:r>
      <w:r w:rsidRPr="002F4250">
        <w:rPr>
          <w:rFonts w:ascii="Times New Roman" w:hAnsi="Times New Roman" w:cs="Times New Roman"/>
        </w:rPr>
        <w:t>released in 2014.</w:t>
      </w:r>
      <w:r w:rsidR="00C64465" w:rsidRPr="002F4250">
        <w:rPr>
          <w:rFonts w:ascii="Times New Roman" w:hAnsi="Times New Roman" w:cs="Times New Roman"/>
        </w:rPr>
        <w:t xml:space="preserve"> </w:t>
      </w:r>
      <w:r w:rsidRPr="002F4250">
        <w:rPr>
          <w:rFonts w:ascii="Times New Roman" w:hAnsi="Times New Roman" w:cs="Times New Roman"/>
        </w:rPr>
        <w:t>T</w:t>
      </w:r>
      <w:r w:rsidR="00EB3900" w:rsidRPr="002F4250">
        <w:rPr>
          <w:rFonts w:ascii="Times New Roman" w:hAnsi="Times New Roman" w:cs="Times New Roman"/>
        </w:rPr>
        <w:t>he</w:t>
      </w:r>
      <w:r w:rsidRPr="002F4250">
        <w:rPr>
          <w:rFonts w:ascii="Times New Roman" w:hAnsi="Times New Roman" w:cs="Times New Roman"/>
        </w:rPr>
        <w:t xml:space="preserve"> dataset</w:t>
      </w:r>
      <w:r w:rsidR="00EB3900" w:rsidRPr="002F4250">
        <w:rPr>
          <w:rFonts w:ascii="Times New Roman" w:hAnsi="Times New Roman" w:cs="Times New Roman"/>
        </w:rPr>
        <w:t xml:space="preserve"> </w:t>
      </w:r>
      <w:r w:rsidRPr="002F4250">
        <w:rPr>
          <w:rFonts w:ascii="Times New Roman" w:hAnsi="Times New Roman" w:cs="Times New Roman"/>
        </w:rPr>
        <w:t xml:space="preserve">incorporates ample information on the respondents’ past and present labour market status, personal and household income, current family arrangement, as well as family background. Years of schooling, and highest degree attained by respondents, and their parents are recorded. The </w:t>
      </w:r>
      <w:r w:rsidR="00B74C24" w:rsidRPr="002F4250">
        <w:rPr>
          <w:rFonts w:ascii="Times New Roman" w:hAnsi="Times New Roman" w:cs="Times New Roman"/>
        </w:rPr>
        <w:t xml:space="preserve">main </w:t>
      </w:r>
      <w:r w:rsidRPr="002F4250">
        <w:rPr>
          <w:rFonts w:ascii="Times New Roman" w:hAnsi="Times New Roman" w:cs="Times New Roman"/>
        </w:rPr>
        <w:t>variables used in this paper are listed and defined in Table 1, and the descriptive statistics are shown in Table 2. All reported estimates are computed using survey weights.</w:t>
      </w:r>
      <w:r w:rsidR="000A229F" w:rsidRPr="002F4250">
        <w:rPr>
          <w:rFonts w:ascii="Times New Roman" w:hAnsi="Times New Roman" w:cs="Times New Roman"/>
        </w:rPr>
        <w:t xml:space="preserve"> </w:t>
      </w:r>
      <w:r w:rsidRPr="002F4250">
        <w:rPr>
          <w:rFonts w:ascii="Times New Roman" w:hAnsi="Times New Roman" w:cs="Times New Roman"/>
        </w:rPr>
        <w:t xml:space="preserve">The sample is restricted to the individuals </w:t>
      </w:r>
      <w:r w:rsidR="006104C2" w:rsidRPr="002F4250">
        <w:rPr>
          <w:rFonts w:ascii="Times New Roman" w:hAnsi="Times New Roman" w:cs="Times New Roman"/>
        </w:rPr>
        <w:t>between 25 and 45</w:t>
      </w:r>
      <w:r w:rsidR="00B74C24" w:rsidRPr="002F4250">
        <w:rPr>
          <w:rFonts w:ascii="Times New Roman" w:hAnsi="Times New Roman" w:cs="Times New Roman"/>
        </w:rPr>
        <w:t xml:space="preserve"> years of age</w:t>
      </w:r>
      <w:r w:rsidR="00C64465" w:rsidRPr="002F4250">
        <w:rPr>
          <w:rFonts w:ascii="Times New Roman" w:hAnsi="Times New Roman" w:cs="Times New Roman"/>
        </w:rPr>
        <w:t xml:space="preserve">. </w:t>
      </w:r>
    </w:p>
    <w:p w:rsidR="00707ED5" w:rsidRDefault="00707ED5">
      <w:r>
        <w:br w:type="page"/>
      </w:r>
    </w:p>
    <w:tbl>
      <w:tblPr>
        <w:tblW w:w="11203" w:type="dxa"/>
        <w:jc w:val="center"/>
        <w:tblBorders>
          <w:top w:val="single" w:sz="12" w:space="0" w:color="000000"/>
          <w:left w:val="single" w:sz="12" w:space="0" w:color="000000"/>
          <w:bottom w:val="single" w:sz="4" w:space="0" w:color="000000"/>
          <w:right w:val="single" w:sz="4" w:space="0" w:color="000000"/>
        </w:tblBorders>
        <w:tblLayout w:type="fixed"/>
        <w:tblLook w:val="04A0" w:firstRow="1" w:lastRow="0" w:firstColumn="1" w:lastColumn="0" w:noHBand="0" w:noVBand="1"/>
      </w:tblPr>
      <w:tblGrid>
        <w:gridCol w:w="2790"/>
        <w:gridCol w:w="8413"/>
      </w:tblGrid>
      <w:tr w:rsidR="00707ED5" w:rsidRPr="00C65129" w:rsidTr="001E0E99">
        <w:trPr>
          <w:trHeight w:val="472"/>
          <w:jc w:val="center"/>
        </w:trPr>
        <w:tc>
          <w:tcPr>
            <w:tcW w:w="11203" w:type="dxa"/>
            <w:gridSpan w:val="2"/>
            <w:tcBorders>
              <w:top w:val="nil"/>
              <w:left w:val="nil"/>
              <w:bottom w:val="single" w:sz="12" w:space="0" w:color="000000"/>
              <w:right w:val="nil"/>
            </w:tcBorders>
            <w:vAlign w:val="center"/>
          </w:tcPr>
          <w:p w:rsidR="00707ED5" w:rsidRPr="009323E4" w:rsidRDefault="00707ED5" w:rsidP="001E0E99">
            <w:pPr>
              <w:spacing w:after="0" w:line="240" w:lineRule="auto"/>
              <w:rPr>
                <w:rFonts w:asciiTheme="majorBidi" w:hAnsiTheme="majorBidi" w:cstheme="majorBidi"/>
                <w:b/>
                <w:iCs/>
                <w:sz w:val="28"/>
                <w:szCs w:val="28"/>
              </w:rPr>
            </w:pPr>
            <w:r w:rsidRPr="009323E4">
              <w:rPr>
                <w:rFonts w:asciiTheme="majorBidi" w:hAnsiTheme="majorBidi" w:cstheme="majorBidi"/>
                <w:b/>
                <w:bCs/>
                <w:sz w:val="28"/>
                <w:szCs w:val="28"/>
              </w:rPr>
              <w:lastRenderedPageBreak/>
              <w:t>Table 1. Definitions of  Main Variables</w:t>
            </w:r>
          </w:p>
        </w:tc>
      </w:tr>
      <w:tr w:rsidR="00707ED5" w:rsidRPr="00C65129" w:rsidTr="00707ED5">
        <w:trPr>
          <w:trHeight w:val="472"/>
          <w:jc w:val="center"/>
        </w:trPr>
        <w:tc>
          <w:tcPr>
            <w:tcW w:w="2790" w:type="dxa"/>
            <w:tcBorders>
              <w:top w:val="nil"/>
              <w:left w:val="nil"/>
              <w:bottom w:val="single" w:sz="12" w:space="0" w:color="000000"/>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Variable</w:t>
            </w:r>
          </w:p>
        </w:tc>
        <w:tc>
          <w:tcPr>
            <w:tcW w:w="8413" w:type="dxa"/>
            <w:tcBorders>
              <w:top w:val="nil"/>
              <w:left w:val="single" w:sz="12" w:space="0" w:color="000000"/>
              <w:bottom w:val="single" w:sz="12" w:space="0" w:color="000000"/>
              <w:right w:val="nil"/>
            </w:tcBorders>
            <w:vAlign w:val="center"/>
          </w:tcPr>
          <w:p w:rsidR="00707ED5" w:rsidRPr="00C65129" w:rsidRDefault="00707ED5" w:rsidP="001E0E99">
            <w:pPr>
              <w:spacing w:after="0" w:line="240" w:lineRule="auto"/>
              <w:jc w:val="center"/>
              <w:rPr>
                <w:rFonts w:asciiTheme="majorBidi" w:hAnsiTheme="majorBidi" w:cstheme="majorBidi"/>
                <w:b/>
                <w:iCs/>
              </w:rPr>
            </w:pPr>
            <w:r w:rsidRPr="00C65129">
              <w:rPr>
                <w:rFonts w:asciiTheme="majorBidi" w:hAnsiTheme="majorBidi" w:cstheme="majorBidi"/>
                <w:b/>
                <w:iCs/>
              </w:rPr>
              <w:t>Definition</w:t>
            </w:r>
          </w:p>
        </w:tc>
      </w:tr>
      <w:tr w:rsidR="00707ED5" w:rsidRPr="00C65129" w:rsidTr="00707ED5">
        <w:trPr>
          <w:trHeight w:val="1037"/>
          <w:jc w:val="center"/>
        </w:trPr>
        <w:tc>
          <w:tcPr>
            <w:tcW w:w="2790" w:type="dxa"/>
            <w:tcBorders>
              <w:top w:val="nil"/>
              <w:left w:val="nil"/>
              <w:bottom w:val="nil"/>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Failed to pay rent/mortgage</w:t>
            </w:r>
          </w:p>
        </w:tc>
        <w:tc>
          <w:tcPr>
            <w:tcW w:w="8413" w:type="dxa"/>
            <w:tcBorders>
              <w:left w:val="single" w:sz="12" w:space="0" w:color="000000"/>
              <w:right w:val="nil"/>
            </w:tcBorders>
            <w:vAlign w:val="center"/>
          </w:tcPr>
          <w:p w:rsidR="00707ED5" w:rsidRPr="00C65129" w:rsidRDefault="00707ED5" w:rsidP="001E0E99">
            <w:pPr>
              <w:autoSpaceDE w:val="0"/>
              <w:autoSpaceDN w:val="0"/>
              <w:adjustRightInd w:val="0"/>
              <w:spacing w:after="0" w:line="240" w:lineRule="auto"/>
              <w:jc w:val="both"/>
              <w:rPr>
                <w:rFonts w:asciiTheme="majorBidi" w:hAnsiTheme="majorBidi" w:cstheme="majorBidi"/>
                <w:iCs/>
              </w:rPr>
            </w:pPr>
            <w:r w:rsidRPr="00C65129">
              <w:rPr>
                <w:rFonts w:asciiTheme="majorBidi" w:hAnsiTheme="majorBidi" w:cstheme="majorBidi"/>
                <w:iCs/>
              </w:rPr>
              <w:t>The GSS-2011 question is framed as: “At any time during the past 12 months, have you/has your household been unable to pay the scheduled rent or mortgage?”.</w:t>
            </w:r>
            <w:r w:rsidRPr="00C65129">
              <w:rPr>
                <w:rFonts w:asciiTheme="majorBidi" w:hAnsiTheme="majorBidi" w:cstheme="majorBidi"/>
              </w:rPr>
              <w:t xml:space="preserve"> The coverage of this question is all respondents. The valid response categories are Yes and No.  </w:t>
            </w:r>
          </w:p>
        </w:tc>
      </w:tr>
      <w:tr w:rsidR="00707ED5" w:rsidRPr="00C65129" w:rsidTr="00707ED5">
        <w:trPr>
          <w:trHeight w:val="567"/>
          <w:jc w:val="center"/>
        </w:trPr>
        <w:tc>
          <w:tcPr>
            <w:tcW w:w="2790" w:type="dxa"/>
            <w:tcBorders>
              <w:top w:val="nil"/>
              <w:left w:val="nil"/>
              <w:bottom w:val="nil"/>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 xml:space="preserve">Failed to pay </w:t>
            </w:r>
            <w:r>
              <w:rPr>
                <w:rFonts w:asciiTheme="majorBidi" w:hAnsiTheme="majorBidi" w:cstheme="majorBidi"/>
                <w:b/>
                <w:iCs/>
              </w:rPr>
              <w:t xml:space="preserve">a </w:t>
            </w:r>
            <w:r w:rsidRPr="00C65129">
              <w:rPr>
                <w:rFonts w:asciiTheme="majorBidi" w:hAnsiTheme="majorBidi" w:cstheme="majorBidi"/>
                <w:b/>
                <w:iCs/>
              </w:rPr>
              <w:t>utility bill</w:t>
            </w:r>
          </w:p>
        </w:tc>
        <w:tc>
          <w:tcPr>
            <w:tcW w:w="8413" w:type="dxa"/>
            <w:tcBorders>
              <w:left w:val="single" w:sz="12" w:space="0" w:color="000000"/>
              <w:right w:val="nil"/>
            </w:tcBorders>
            <w:vAlign w:val="center"/>
          </w:tcPr>
          <w:p w:rsidR="00707ED5" w:rsidRPr="00C65129" w:rsidRDefault="00707ED5" w:rsidP="001E0E99">
            <w:pPr>
              <w:autoSpaceDE w:val="0"/>
              <w:autoSpaceDN w:val="0"/>
              <w:adjustRightInd w:val="0"/>
              <w:spacing w:after="0" w:line="240" w:lineRule="auto"/>
              <w:jc w:val="both"/>
              <w:rPr>
                <w:rFonts w:asciiTheme="majorBidi" w:hAnsiTheme="majorBidi" w:cstheme="majorBidi"/>
                <w:iCs/>
              </w:rPr>
            </w:pPr>
          </w:p>
          <w:p w:rsidR="00707ED5" w:rsidRPr="00C65129" w:rsidRDefault="00707ED5" w:rsidP="001E0E99">
            <w:pPr>
              <w:autoSpaceDE w:val="0"/>
              <w:autoSpaceDN w:val="0"/>
              <w:adjustRightInd w:val="0"/>
              <w:spacing w:after="0" w:line="240" w:lineRule="auto"/>
              <w:jc w:val="both"/>
              <w:rPr>
                <w:rFonts w:asciiTheme="majorBidi" w:hAnsiTheme="majorBidi" w:cstheme="majorBidi"/>
                <w:iCs/>
              </w:rPr>
            </w:pPr>
            <w:r w:rsidRPr="00C65129">
              <w:rPr>
                <w:rFonts w:asciiTheme="majorBidi" w:hAnsiTheme="majorBidi" w:cstheme="majorBidi"/>
                <w:iCs/>
              </w:rPr>
              <w:t xml:space="preserve">The GSS-2011 question is framed as: “At any time during the past 12 months, have you/has your household been unable to pay the scheduled utility bills, such as electricity, gas or water?”. </w:t>
            </w:r>
            <w:r w:rsidRPr="00C65129">
              <w:rPr>
                <w:rFonts w:asciiTheme="majorBidi" w:hAnsiTheme="majorBidi" w:cstheme="majorBidi"/>
              </w:rPr>
              <w:t xml:space="preserve">The coverage of this question is all respondents. The valid response categories are Yes and No. </w:t>
            </w:r>
          </w:p>
          <w:p w:rsidR="00707ED5" w:rsidRPr="00C65129" w:rsidRDefault="00707ED5" w:rsidP="001E0E99">
            <w:pPr>
              <w:autoSpaceDE w:val="0"/>
              <w:autoSpaceDN w:val="0"/>
              <w:adjustRightInd w:val="0"/>
              <w:spacing w:after="0" w:line="240" w:lineRule="auto"/>
              <w:jc w:val="both"/>
              <w:rPr>
                <w:rFonts w:asciiTheme="majorBidi" w:hAnsiTheme="majorBidi" w:cstheme="majorBidi"/>
              </w:rPr>
            </w:pPr>
          </w:p>
        </w:tc>
      </w:tr>
      <w:tr w:rsidR="00707ED5" w:rsidRPr="00C65129" w:rsidTr="00707ED5">
        <w:trPr>
          <w:trHeight w:val="1298"/>
          <w:jc w:val="center"/>
        </w:trPr>
        <w:tc>
          <w:tcPr>
            <w:tcW w:w="2790" w:type="dxa"/>
            <w:tcBorders>
              <w:top w:val="nil"/>
              <w:left w:val="nil"/>
              <w:bottom w:val="nil"/>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Pr>
                <w:rFonts w:asciiTheme="majorBidi" w:hAnsiTheme="majorBidi" w:cstheme="majorBidi"/>
                <w:b/>
                <w:iCs/>
              </w:rPr>
              <w:t>Failed to pay an instalment</w:t>
            </w:r>
          </w:p>
        </w:tc>
        <w:tc>
          <w:tcPr>
            <w:tcW w:w="8413" w:type="dxa"/>
            <w:tcBorders>
              <w:left w:val="single" w:sz="12" w:space="0" w:color="000000"/>
              <w:right w:val="nil"/>
            </w:tcBorders>
            <w:vAlign w:val="center"/>
          </w:tcPr>
          <w:p w:rsidR="00707ED5" w:rsidRPr="00C65129" w:rsidRDefault="00707ED5" w:rsidP="001E0E99">
            <w:pPr>
              <w:autoSpaceDE w:val="0"/>
              <w:autoSpaceDN w:val="0"/>
              <w:adjustRightInd w:val="0"/>
              <w:spacing w:after="0" w:line="240" w:lineRule="auto"/>
              <w:jc w:val="both"/>
              <w:rPr>
                <w:rFonts w:asciiTheme="majorBidi" w:hAnsiTheme="majorBidi" w:cstheme="majorBidi"/>
                <w:iCs/>
              </w:rPr>
            </w:pPr>
          </w:p>
          <w:p w:rsidR="00707ED5" w:rsidRPr="00C65129" w:rsidRDefault="00707ED5" w:rsidP="001E0E99">
            <w:pPr>
              <w:autoSpaceDE w:val="0"/>
              <w:autoSpaceDN w:val="0"/>
              <w:adjustRightInd w:val="0"/>
              <w:spacing w:after="0" w:line="240" w:lineRule="auto"/>
              <w:jc w:val="both"/>
              <w:rPr>
                <w:rFonts w:asciiTheme="majorBidi" w:hAnsiTheme="majorBidi" w:cstheme="majorBidi"/>
                <w:iCs/>
              </w:rPr>
            </w:pPr>
            <w:r w:rsidRPr="00C65129">
              <w:rPr>
                <w:rFonts w:asciiTheme="majorBidi" w:hAnsiTheme="majorBidi" w:cstheme="majorBidi"/>
                <w:iCs/>
              </w:rPr>
              <w:t xml:space="preserve">The GSS-2011 question is framed as: “At any time during the past 12 months, have you/has your household been unable to pay the scheduled purchase instalments or other loan repayments?”. </w:t>
            </w:r>
            <w:r w:rsidRPr="00C65129">
              <w:rPr>
                <w:rFonts w:asciiTheme="majorBidi" w:hAnsiTheme="majorBidi" w:cstheme="majorBidi"/>
              </w:rPr>
              <w:t xml:space="preserve">The coverage of this question is all respondents. The valid response categories are Yes and No. </w:t>
            </w:r>
          </w:p>
          <w:p w:rsidR="00707ED5" w:rsidRPr="00C65129" w:rsidRDefault="00707ED5" w:rsidP="001E0E99">
            <w:pPr>
              <w:autoSpaceDE w:val="0"/>
              <w:autoSpaceDN w:val="0"/>
              <w:adjustRightInd w:val="0"/>
              <w:spacing w:after="0" w:line="240" w:lineRule="auto"/>
              <w:jc w:val="both"/>
              <w:rPr>
                <w:rFonts w:asciiTheme="majorBidi" w:hAnsiTheme="majorBidi" w:cstheme="majorBidi"/>
                <w:iCs/>
              </w:rPr>
            </w:pPr>
          </w:p>
        </w:tc>
      </w:tr>
      <w:tr w:rsidR="00707ED5" w:rsidRPr="00C65129" w:rsidTr="00707ED5">
        <w:trPr>
          <w:trHeight w:val="872"/>
          <w:jc w:val="center"/>
        </w:trPr>
        <w:tc>
          <w:tcPr>
            <w:tcW w:w="2790" w:type="dxa"/>
            <w:tcBorders>
              <w:top w:val="nil"/>
              <w:left w:val="nil"/>
              <w:bottom w:val="nil"/>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Unable to save</w:t>
            </w:r>
          </w:p>
        </w:tc>
        <w:tc>
          <w:tcPr>
            <w:tcW w:w="8413" w:type="dxa"/>
            <w:tcBorders>
              <w:left w:val="single" w:sz="12" w:space="0" w:color="000000"/>
              <w:right w:val="nil"/>
            </w:tcBorders>
            <w:vAlign w:val="center"/>
          </w:tcPr>
          <w:p w:rsidR="00707ED5" w:rsidRPr="00C65129" w:rsidRDefault="00707ED5" w:rsidP="001E0E99">
            <w:pPr>
              <w:autoSpaceDE w:val="0"/>
              <w:autoSpaceDN w:val="0"/>
              <w:adjustRightInd w:val="0"/>
              <w:spacing w:after="0" w:line="240" w:lineRule="auto"/>
              <w:jc w:val="both"/>
              <w:rPr>
                <w:rFonts w:asciiTheme="majorBidi" w:hAnsiTheme="majorBidi" w:cstheme="majorBidi"/>
                <w:iCs/>
              </w:rPr>
            </w:pPr>
            <w:r w:rsidRPr="00C65129">
              <w:rPr>
                <w:rFonts w:asciiTheme="majorBidi" w:hAnsiTheme="majorBidi" w:cstheme="majorBidi"/>
                <w:iCs/>
              </w:rPr>
              <w:t xml:space="preserve">The GSS-2011 question is framed as: “Usually, after essential expenses are paid, is there any money left that you and your spouse/partner can set aside for larger, unforeseen expenses or just savings?” </w:t>
            </w:r>
            <w:r w:rsidRPr="00C65129">
              <w:rPr>
                <w:rFonts w:asciiTheme="majorBidi" w:hAnsiTheme="majorBidi" w:cstheme="majorBidi"/>
              </w:rPr>
              <w:t xml:space="preserve">The coverage of this question is all respondents. The valid response categories are Yes and No.  </w:t>
            </w:r>
          </w:p>
        </w:tc>
      </w:tr>
      <w:tr w:rsidR="00707ED5" w:rsidRPr="00C65129" w:rsidTr="00707ED5">
        <w:trPr>
          <w:trHeight w:val="872"/>
          <w:jc w:val="center"/>
        </w:trPr>
        <w:tc>
          <w:tcPr>
            <w:tcW w:w="2790" w:type="dxa"/>
            <w:tcBorders>
              <w:top w:val="nil"/>
              <w:left w:val="nil"/>
              <w:bottom w:val="nil"/>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Financially vulnerable</w:t>
            </w:r>
          </w:p>
        </w:tc>
        <w:tc>
          <w:tcPr>
            <w:tcW w:w="8413" w:type="dxa"/>
            <w:tcBorders>
              <w:left w:val="single" w:sz="12" w:space="0" w:color="000000"/>
              <w:right w:val="nil"/>
            </w:tcBorders>
            <w:vAlign w:val="center"/>
          </w:tcPr>
          <w:p w:rsidR="00707ED5" w:rsidRPr="00C65129" w:rsidRDefault="00707ED5" w:rsidP="001E0E99">
            <w:pPr>
              <w:autoSpaceDE w:val="0"/>
              <w:autoSpaceDN w:val="0"/>
              <w:adjustRightInd w:val="0"/>
              <w:spacing w:after="0" w:line="240" w:lineRule="auto"/>
              <w:jc w:val="both"/>
              <w:rPr>
                <w:rFonts w:asciiTheme="majorBidi" w:hAnsiTheme="majorBidi" w:cstheme="majorBidi"/>
                <w:iCs/>
              </w:rPr>
            </w:pPr>
            <w:r w:rsidRPr="00C65129">
              <w:rPr>
                <w:rFonts w:asciiTheme="majorBidi" w:hAnsiTheme="majorBidi" w:cstheme="majorBidi"/>
                <w:iCs/>
              </w:rPr>
              <w:t xml:space="preserve">A dichotomous variable taking the value of 1 for the respondents who have failed to pay at least one bill, or were unable to save. </w:t>
            </w:r>
          </w:p>
        </w:tc>
      </w:tr>
      <w:tr w:rsidR="00707ED5" w:rsidRPr="00C65129" w:rsidTr="00707ED5">
        <w:trPr>
          <w:trHeight w:val="1109"/>
          <w:jc w:val="center"/>
        </w:trPr>
        <w:tc>
          <w:tcPr>
            <w:tcW w:w="2790" w:type="dxa"/>
            <w:tcBorders>
              <w:top w:val="nil"/>
              <w:left w:val="nil"/>
              <w:bottom w:val="nil"/>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Visible minority</w:t>
            </w:r>
          </w:p>
        </w:tc>
        <w:tc>
          <w:tcPr>
            <w:tcW w:w="8413" w:type="dxa"/>
            <w:tcBorders>
              <w:left w:val="single" w:sz="12" w:space="0" w:color="000000"/>
              <w:right w:val="nil"/>
            </w:tcBorders>
            <w:vAlign w:val="center"/>
          </w:tcPr>
          <w:p w:rsidR="00707ED5" w:rsidRPr="00C65129" w:rsidRDefault="00707ED5" w:rsidP="001E0E99">
            <w:pPr>
              <w:autoSpaceDE w:val="0"/>
              <w:autoSpaceDN w:val="0"/>
              <w:adjustRightInd w:val="0"/>
              <w:spacing w:after="0" w:line="240" w:lineRule="auto"/>
              <w:rPr>
                <w:rFonts w:asciiTheme="majorBidi" w:hAnsiTheme="majorBidi" w:cstheme="majorBidi"/>
              </w:rPr>
            </w:pPr>
          </w:p>
          <w:p w:rsidR="00707ED5" w:rsidRPr="00C65129" w:rsidRDefault="00707ED5" w:rsidP="001E0E99">
            <w:pPr>
              <w:autoSpaceDE w:val="0"/>
              <w:autoSpaceDN w:val="0"/>
              <w:adjustRightInd w:val="0"/>
              <w:spacing w:after="0" w:line="240" w:lineRule="auto"/>
              <w:rPr>
                <w:rFonts w:asciiTheme="majorBidi" w:hAnsiTheme="majorBidi" w:cstheme="majorBidi"/>
              </w:rPr>
            </w:pPr>
            <w:r w:rsidRPr="00C65129">
              <w:rPr>
                <w:rFonts w:asciiTheme="majorBidi" w:hAnsiTheme="majorBidi" w:cstheme="majorBidi"/>
              </w:rPr>
              <w:t>A dichotomous variable taking the value of 1 for “persons, other than Aboriginal peoples, who are non-Caucasian in race or non-white in colour” (definition of Employment Equity Act of Canada); and 0 otherwise.</w:t>
            </w:r>
          </w:p>
        </w:tc>
      </w:tr>
      <w:tr w:rsidR="00707ED5" w:rsidRPr="00C65129" w:rsidTr="00707ED5">
        <w:trPr>
          <w:trHeight w:val="1280"/>
          <w:jc w:val="center"/>
        </w:trPr>
        <w:tc>
          <w:tcPr>
            <w:tcW w:w="2790" w:type="dxa"/>
            <w:tcBorders>
              <w:top w:val="nil"/>
              <w:left w:val="nil"/>
              <w:bottom w:val="nil"/>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 xml:space="preserve">Allophone </w:t>
            </w:r>
          </w:p>
        </w:tc>
        <w:tc>
          <w:tcPr>
            <w:tcW w:w="8413" w:type="dxa"/>
            <w:tcBorders>
              <w:top w:val="nil"/>
              <w:left w:val="single" w:sz="12" w:space="0" w:color="000000"/>
              <w:right w:val="nil"/>
            </w:tcBorders>
            <w:vAlign w:val="center"/>
          </w:tcPr>
          <w:p w:rsidR="00707ED5" w:rsidRPr="00C65129" w:rsidRDefault="00707ED5" w:rsidP="001E0E99">
            <w:pPr>
              <w:spacing w:after="0" w:line="240" w:lineRule="auto"/>
              <w:rPr>
                <w:rFonts w:asciiTheme="majorBidi" w:hAnsiTheme="majorBidi" w:cstheme="majorBidi"/>
                <w:iCs/>
              </w:rPr>
            </w:pPr>
            <w:r w:rsidRPr="00C65129">
              <w:rPr>
                <w:rFonts w:asciiTheme="majorBidi" w:hAnsiTheme="majorBidi" w:cstheme="majorBidi"/>
              </w:rPr>
              <w:t>A dichotomous variable taking the value of 1 for the respondents whose mother tongue(s) neither is (includes) French nor English; and 0 otherwise.</w:t>
            </w:r>
          </w:p>
        </w:tc>
      </w:tr>
      <w:tr w:rsidR="00707ED5" w:rsidRPr="00C65129" w:rsidTr="00707ED5">
        <w:trPr>
          <w:trHeight w:val="789"/>
          <w:jc w:val="center"/>
        </w:trPr>
        <w:tc>
          <w:tcPr>
            <w:tcW w:w="2790" w:type="dxa"/>
            <w:tcBorders>
              <w:top w:val="nil"/>
              <w:left w:val="nil"/>
              <w:bottom w:val="nil"/>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Immigrant</w:t>
            </w:r>
          </w:p>
        </w:tc>
        <w:tc>
          <w:tcPr>
            <w:tcW w:w="8413" w:type="dxa"/>
            <w:tcBorders>
              <w:left w:val="single" w:sz="12" w:space="0" w:color="000000"/>
              <w:right w:val="nil"/>
            </w:tcBorders>
            <w:vAlign w:val="center"/>
          </w:tcPr>
          <w:p w:rsidR="00707ED5" w:rsidRPr="00C65129" w:rsidRDefault="00707ED5" w:rsidP="001E0E99">
            <w:pPr>
              <w:spacing w:after="0" w:line="240" w:lineRule="auto"/>
              <w:rPr>
                <w:rFonts w:asciiTheme="majorBidi" w:hAnsiTheme="majorBidi" w:cstheme="majorBidi"/>
                <w:iCs/>
              </w:rPr>
            </w:pPr>
            <w:r w:rsidRPr="00C65129">
              <w:rPr>
                <w:rFonts w:asciiTheme="majorBidi" w:hAnsiTheme="majorBidi" w:cstheme="majorBidi"/>
                <w:iCs/>
              </w:rPr>
              <w:t xml:space="preserve">A dichotomous variable taking the value of 1 for “Not a Canadian-born”, where a Canadian born is defined as an individual either born in Canada or born outside Canada from Canadian parents; and 0 otherwise. </w:t>
            </w:r>
          </w:p>
        </w:tc>
      </w:tr>
      <w:tr w:rsidR="00707ED5" w:rsidRPr="00C65129" w:rsidTr="00707ED5">
        <w:trPr>
          <w:trHeight w:val="1339"/>
          <w:jc w:val="center"/>
        </w:trPr>
        <w:tc>
          <w:tcPr>
            <w:tcW w:w="2790" w:type="dxa"/>
            <w:tcBorders>
              <w:top w:val="nil"/>
              <w:left w:val="nil"/>
              <w:bottom w:val="single" w:sz="12" w:space="0" w:color="000000"/>
              <w:right w:val="single" w:sz="12" w:space="0" w:color="000000"/>
            </w:tcBorders>
            <w:vAlign w:val="center"/>
          </w:tcPr>
          <w:p w:rsidR="00707ED5" w:rsidRPr="00C65129" w:rsidRDefault="00707ED5" w:rsidP="001E0E99">
            <w:pPr>
              <w:spacing w:after="0" w:line="240" w:lineRule="auto"/>
              <w:rPr>
                <w:rFonts w:asciiTheme="majorBidi" w:hAnsiTheme="majorBidi" w:cstheme="majorBidi"/>
                <w:b/>
                <w:iCs/>
              </w:rPr>
            </w:pPr>
            <w:r w:rsidRPr="00C65129">
              <w:rPr>
                <w:rFonts w:asciiTheme="majorBidi" w:hAnsiTheme="majorBidi" w:cstheme="majorBidi"/>
                <w:b/>
                <w:iCs/>
              </w:rPr>
              <w:t>Locations</w:t>
            </w:r>
          </w:p>
        </w:tc>
        <w:tc>
          <w:tcPr>
            <w:tcW w:w="8413" w:type="dxa"/>
            <w:tcBorders>
              <w:top w:val="nil"/>
              <w:left w:val="single" w:sz="12" w:space="0" w:color="000000"/>
              <w:bottom w:val="single" w:sz="12" w:space="0" w:color="000000"/>
              <w:right w:val="nil"/>
            </w:tcBorders>
          </w:tcPr>
          <w:p w:rsidR="00707ED5" w:rsidRPr="00C65129" w:rsidRDefault="00707ED5" w:rsidP="001E0E99">
            <w:pPr>
              <w:autoSpaceDE w:val="0"/>
              <w:autoSpaceDN w:val="0"/>
              <w:adjustRightInd w:val="0"/>
              <w:spacing w:after="0" w:line="240" w:lineRule="auto"/>
              <w:rPr>
                <w:rFonts w:asciiTheme="majorBidi" w:hAnsiTheme="majorBidi" w:cstheme="majorBidi"/>
              </w:rPr>
            </w:pPr>
          </w:p>
          <w:p w:rsidR="00707ED5" w:rsidRPr="00C65129" w:rsidRDefault="00707ED5" w:rsidP="001E0E99">
            <w:pPr>
              <w:autoSpaceDE w:val="0"/>
              <w:autoSpaceDN w:val="0"/>
              <w:adjustRightInd w:val="0"/>
              <w:spacing w:after="0" w:line="240" w:lineRule="auto"/>
              <w:rPr>
                <w:rFonts w:asciiTheme="majorBidi" w:hAnsiTheme="majorBidi" w:cstheme="majorBidi"/>
              </w:rPr>
            </w:pPr>
            <w:r>
              <w:rPr>
                <w:rFonts w:asciiTheme="majorBidi" w:hAnsiTheme="majorBidi" w:cstheme="majorBidi"/>
              </w:rPr>
              <w:t>Canadian provinces</w:t>
            </w:r>
            <w:r w:rsidRPr="00C65129">
              <w:rPr>
                <w:rFonts w:asciiTheme="majorBidi" w:hAnsiTheme="majorBidi" w:cstheme="majorBidi"/>
              </w:rPr>
              <w:t>: Newfoundland and Labrador (NL); Prince Edward Island (PEI); Nova Scotia (NS); New Brunswick (NB); Québec (QC); Ontario (ON); Manitoba (MN); Saskatchewan (SK); Alberta (AB); British Columbia (BC).</w:t>
            </w:r>
          </w:p>
        </w:tc>
      </w:tr>
      <w:tr w:rsidR="00707ED5" w:rsidRPr="00C65129" w:rsidTr="001E0E99">
        <w:trPr>
          <w:trHeight w:val="477"/>
          <w:jc w:val="center"/>
        </w:trPr>
        <w:tc>
          <w:tcPr>
            <w:tcW w:w="11203" w:type="dxa"/>
            <w:gridSpan w:val="2"/>
            <w:tcBorders>
              <w:top w:val="single" w:sz="12" w:space="0" w:color="000000"/>
              <w:left w:val="nil"/>
              <w:bottom w:val="single" w:sz="12" w:space="0" w:color="000000"/>
              <w:right w:val="nil"/>
            </w:tcBorders>
            <w:vAlign w:val="center"/>
          </w:tcPr>
          <w:p w:rsidR="00707ED5" w:rsidRPr="00C65129" w:rsidRDefault="00707ED5" w:rsidP="001E0E99">
            <w:pPr>
              <w:autoSpaceDE w:val="0"/>
              <w:autoSpaceDN w:val="0"/>
              <w:adjustRightInd w:val="0"/>
              <w:spacing w:after="0" w:line="240" w:lineRule="auto"/>
              <w:rPr>
                <w:rFonts w:asciiTheme="majorBidi" w:hAnsiTheme="majorBidi" w:cstheme="majorBidi"/>
                <w:b/>
                <w:bCs/>
              </w:rPr>
            </w:pPr>
            <w:r w:rsidRPr="00C65129">
              <w:rPr>
                <w:rFonts w:asciiTheme="majorBidi" w:hAnsiTheme="majorBidi" w:cstheme="majorBidi"/>
                <w:b/>
                <w:bCs/>
              </w:rPr>
              <w:t xml:space="preserve">Note: </w:t>
            </w:r>
            <w:r w:rsidRPr="00C65129">
              <w:rPr>
                <w:rFonts w:asciiTheme="majorBidi" w:hAnsiTheme="majorBidi" w:cstheme="majorBidi"/>
              </w:rPr>
              <w:t>See Statistics</w:t>
            </w:r>
            <w:r>
              <w:rPr>
                <w:rFonts w:asciiTheme="majorBidi" w:hAnsiTheme="majorBidi" w:cstheme="majorBidi"/>
              </w:rPr>
              <w:t xml:space="preserve"> Canada, General Social Survey-</w:t>
            </w:r>
            <w:r w:rsidRPr="00C65129">
              <w:rPr>
                <w:rFonts w:asciiTheme="majorBidi" w:hAnsiTheme="majorBidi" w:cstheme="majorBidi"/>
              </w:rPr>
              <w:t>2011; Guide, Available at: http://tinyurl.com/phylm2u</w:t>
            </w:r>
          </w:p>
        </w:tc>
      </w:tr>
    </w:tbl>
    <w:p w:rsidR="00707ED5" w:rsidRDefault="00707ED5" w:rsidP="00443863">
      <w:pPr>
        <w:spacing w:after="0" w:line="480" w:lineRule="auto"/>
        <w:ind w:firstLine="709"/>
        <w:jc w:val="both"/>
        <w:rPr>
          <w:rFonts w:ascii="Times New Roman" w:hAnsi="Times New Roman" w:cs="Times New Roman"/>
        </w:rPr>
      </w:pPr>
      <w:r>
        <w:rPr>
          <w:rFonts w:ascii="Times New Roman" w:hAnsi="Times New Roman" w:cs="Times New Roman"/>
        </w:rPr>
        <w:br/>
      </w:r>
    </w:p>
    <w:p w:rsidR="00707ED5" w:rsidRPr="00DC0BFA" w:rsidRDefault="00707ED5" w:rsidP="00707ED5">
      <w:pPr>
        <w:autoSpaceDE w:val="0"/>
        <w:autoSpaceDN w:val="0"/>
        <w:adjustRightInd w:val="0"/>
        <w:spacing w:after="0"/>
        <w:rPr>
          <w:rFonts w:asciiTheme="majorBidi" w:hAnsiTheme="majorBidi" w:cstheme="majorBidi"/>
          <w:b/>
          <w:bCs/>
        </w:rPr>
      </w:pPr>
      <w:r w:rsidRPr="00DC0BFA">
        <w:rPr>
          <w:rFonts w:asciiTheme="majorBidi" w:hAnsiTheme="majorBidi" w:cstheme="majorBidi"/>
          <w:b/>
          <w:bCs/>
        </w:rPr>
        <w:lastRenderedPageBreak/>
        <w:t>Table 2. Descriptive Statistics by Province</w:t>
      </w:r>
    </w:p>
    <w:tbl>
      <w:tblPr>
        <w:tblStyle w:val="TableGrid"/>
        <w:tblW w:w="10490" w:type="dxa"/>
        <w:tblInd w:w="-567" w:type="dxa"/>
        <w:tblLayout w:type="fixed"/>
        <w:tblLook w:val="04A0" w:firstRow="1" w:lastRow="0" w:firstColumn="1" w:lastColumn="0" w:noHBand="0" w:noVBand="1"/>
      </w:tblPr>
      <w:tblGrid>
        <w:gridCol w:w="1701"/>
        <w:gridCol w:w="1843"/>
        <w:gridCol w:w="1739"/>
        <w:gridCol w:w="1663"/>
        <w:gridCol w:w="1481"/>
        <w:gridCol w:w="2063"/>
      </w:tblGrid>
      <w:tr w:rsidR="00707ED5" w:rsidRPr="00E4767E" w:rsidTr="001E0E99">
        <w:trPr>
          <w:trHeight w:val="707"/>
        </w:trPr>
        <w:tc>
          <w:tcPr>
            <w:tcW w:w="1701" w:type="dxa"/>
            <w:tcBorders>
              <w:top w:val="single" w:sz="12" w:space="0" w:color="000000" w:themeColor="text1"/>
              <w:left w:val="nil"/>
              <w:bottom w:val="single" w:sz="12" w:space="0" w:color="000000" w:themeColor="text1"/>
              <w:right w:val="nil"/>
            </w:tcBorders>
            <w:vAlign w:val="center"/>
          </w:tcPr>
          <w:p w:rsidR="00707ED5" w:rsidRPr="00E4767E" w:rsidRDefault="00707ED5" w:rsidP="001E0E99">
            <w:pPr>
              <w:tabs>
                <w:tab w:val="left" w:pos="4568"/>
              </w:tabs>
              <w:rPr>
                <w:rFonts w:asciiTheme="majorBidi" w:hAnsiTheme="majorBidi" w:cstheme="majorBidi"/>
                <w:b/>
                <w:bCs/>
                <w:color w:val="171717" w:themeColor="background2" w:themeShade="1A"/>
              </w:rPr>
            </w:pPr>
          </w:p>
        </w:tc>
        <w:tc>
          <w:tcPr>
            <w:tcW w:w="1843" w:type="dxa"/>
            <w:tcBorders>
              <w:top w:val="single" w:sz="12" w:space="0" w:color="000000" w:themeColor="text1"/>
              <w:left w:val="nil"/>
              <w:bottom w:val="single" w:sz="12" w:space="0" w:color="000000" w:themeColor="text1"/>
              <w:right w:val="nil"/>
            </w:tcBorders>
            <w:vAlign w:val="center"/>
          </w:tcPr>
          <w:p w:rsidR="00707ED5" w:rsidRPr="00E4767E" w:rsidRDefault="00707ED5" w:rsidP="001E0E99">
            <w:pPr>
              <w:jc w:val="center"/>
              <w:rPr>
                <w:rFonts w:asciiTheme="majorBidi" w:hAnsiTheme="majorBidi" w:cstheme="majorBidi"/>
                <w:b/>
                <w:bCs/>
                <w:color w:val="171717" w:themeColor="background2" w:themeShade="1A"/>
              </w:rPr>
            </w:pPr>
            <w:proofErr w:type="spellStart"/>
            <w:r>
              <w:rPr>
                <w:rFonts w:asciiTheme="majorBidi" w:hAnsiTheme="majorBidi" w:cstheme="majorBidi"/>
                <w:b/>
                <w:bCs/>
                <w:color w:val="171717" w:themeColor="background2" w:themeShade="1A"/>
              </w:rPr>
              <w:t>Financially</w:t>
            </w:r>
            <w:proofErr w:type="spellEnd"/>
            <w:r>
              <w:rPr>
                <w:rFonts w:asciiTheme="majorBidi" w:hAnsiTheme="majorBidi" w:cstheme="majorBidi"/>
                <w:b/>
                <w:bCs/>
                <w:color w:val="171717" w:themeColor="background2" w:themeShade="1A"/>
              </w:rPr>
              <w:t xml:space="preserve"> </w:t>
            </w:r>
            <w:proofErr w:type="spellStart"/>
            <w:r>
              <w:rPr>
                <w:rFonts w:asciiTheme="majorBidi" w:hAnsiTheme="majorBidi" w:cstheme="majorBidi"/>
                <w:b/>
                <w:bCs/>
                <w:color w:val="171717" w:themeColor="background2" w:themeShade="1A"/>
              </w:rPr>
              <w:t>Vulnerable</w:t>
            </w:r>
            <w:proofErr w:type="spellEnd"/>
            <w:r>
              <w:rPr>
                <w:rFonts w:asciiTheme="majorBidi" w:hAnsiTheme="majorBidi" w:cstheme="majorBidi"/>
                <w:b/>
                <w:bCs/>
                <w:color w:val="171717" w:themeColor="background2" w:themeShade="1A"/>
              </w:rPr>
              <w:t xml:space="preserve"> (%)</w:t>
            </w:r>
          </w:p>
        </w:tc>
        <w:tc>
          <w:tcPr>
            <w:tcW w:w="1739" w:type="dxa"/>
            <w:tcBorders>
              <w:top w:val="single" w:sz="12" w:space="0" w:color="000000" w:themeColor="text1"/>
              <w:left w:val="nil"/>
              <w:bottom w:val="single" w:sz="12" w:space="0" w:color="000000" w:themeColor="text1"/>
              <w:right w:val="nil"/>
            </w:tcBorders>
            <w:vAlign w:val="center"/>
          </w:tcPr>
          <w:p w:rsidR="00707ED5" w:rsidRPr="00E4767E" w:rsidRDefault="00707ED5" w:rsidP="001E0E99">
            <w:pPr>
              <w:jc w:val="center"/>
              <w:rPr>
                <w:rFonts w:asciiTheme="majorBidi" w:hAnsiTheme="majorBidi" w:cstheme="majorBidi"/>
                <w:b/>
                <w:bCs/>
                <w:color w:val="171717" w:themeColor="background2" w:themeShade="1A"/>
              </w:rPr>
            </w:pPr>
            <w:proofErr w:type="spellStart"/>
            <w:r w:rsidRPr="00E4767E">
              <w:rPr>
                <w:rFonts w:asciiTheme="majorBidi" w:hAnsiTheme="majorBidi" w:cstheme="majorBidi"/>
                <w:b/>
                <w:bCs/>
                <w:color w:val="171717" w:themeColor="background2" w:themeShade="1A"/>
              </w:rPr>
              <w:t>Schooling</w:t>
            </w:r>
            <w:proofErr w:type="spellEnd"/>
            <w:r>
              <w:rPr>
                <w:rFonts w:asciiTheme="majorBidi" w:hAnsiTheme="majorBidi" w:cstheme="majorBidi"/>
                <w:b/>
                <w:bCs/>
                <w:color w:val="171717" w:themeColor="background2" w:themeShade="1A"/>
              </w:rPr>
              <w:t xml:space="preserve"> (</w:t>
            </w:r>
            <w:proofErr w:type="spellStart"/>
            <w:r>
              <w:rPr>
                <w:rFonts w:asciiTheme="majorBidi" w:hAnsiTheme="majorBidi" w:cstheme="majorBidi"/>
                <w:b/>
                <w:bCs/>
                <w:color w:val="171717" w:themeColor="background2" w:themeShade="1A"/>
              </w:rPr>
              <w:t>Years</w:t>
            </w:r>
            <w:proofErr w:type="spellEnd"/>
            <w:r>
              <w:rPr>
                <w:rFonts w:asciiTheme="majorBidi" w:hAnsiTheme="majorBidi" w:cstheme="majorBidi"/>
                <w:b/>
                <w:bCs/>
                <w:color w:val="171717" w:themeColor="background2" w:themeShade="1A"/>
              </w:rPr>
              <w:t>)</w:t>
            </w:r>
          </w:p>
        </w:tc>
        <w:tc>
          <w:tcPr>
            <w:tcW w:w="1663" w:type="dxa"/>
            <w:tcBorders>
              <w:top w:val="single" w:sz="12" w:space="0" w:color="000000" w:themeColor="text1"/>
              <w:left w:val="nil"/>
              <w:bottom w:val="single" w:sz="12" w:space="0" w:color="000000" w:themeColor="text1"/>
              <w:right w:val="nil"/>
            </w:tcBorders>
            <w:vAlign w:val="center"/>
          </w:tcPr>
          <w:p w:rsidR="00707ED5" w:rsidRPr="00E4767E" w:rsidRDefault="00707ED5" w:rsidP="001E0E99">
            <w:pPr>
              <w:jc w:val="center"/>
              <w:rPr>
                <w:rFonts w:asciiTheme="majorBidi" w:hAnsiTheme="majorBidi" w:cstheme="majorBidi"/>
                <w:b/>
                <w:bCs/>
                <w:color w:val="171717" w:themeColor="background2" w:themeShade="1A"/>
              </w:rPr>
            </w:pPr>
            <w:proofErr w:type="spellStart"/>
            <w:r w:rsidRPr="00E4767E">
              <w:rPr>
                <w:rFonts w:asciiTheme="majorBidi" w:hAnsiTheme="majorBidi" w:cstheme="majorBidi"/>
                <w:b/>
                <w:bCs/>
                <w:color w:val="171717" w:themeColor="background2" w:themeShade="1A"/>
              </w:rPr>
              <w:t>Bachelor</w:t>
            </w:r>
            <w:r>
              <w:rPr>
                <w:rFonts w:asciiTheme="majorBidi" w:hAnsiTheme="majorBidi" w:cstheme="majorBidi"/>
                <w:b/>
                <w:bCs/>
                <w:color w:val="171717" w:themeColor="background2" w:themeShade="1A"/>
              </w:rPr>
              <w:t>’s</w:t>
            </w:r>
            <w:proofErr w:type="spellEnd"/>
            <w:r>
              <w:rPr>
                <w:rFonts w:asciiTheme="majorBidi" w:hAnsiTheme="majorBidi" w:cstheme="majorBidi"/>
                <w:b/>
                <w:bCs/>
                <w:color w:val="171717" w:themeColor="background2" w:themeShade="1A"/>
              </w:rPr>
              <w:t xml:space="preserve"> (%)</w:t>
            </w:r>
          </w:p>
        </w:tc>
        <w:tc>
          <w:tcPr>
            <w:tcW w:w="1481" w:type="dxa"/>
            <w:tcBorders>
              <w:top w:val="single" w:sz="12" w:space="0" w:color="000000" w:themeColor="text1"/>
              <w:left w:val="nil"/>
              <w:bottom w:val="single" w:sz="12" w:space="0" w:color="000000" w:themeColor="text1"/>
              <w:right w:val="nil"/>
            </w:tcBorders>
            <w:vAlign w:val="center"/>
          </w:tcPr>
          <w:p w:rsidR="00707ED5" w:rsidRPr="00E4767E" w:rsidRDefault="00707ED5" w:rsidP="001E0E99">
            <w:pPr>
              <w:jc w:val="center"/>
              <w:rPr>
                <w:rFonts w:asciiTheme="majorBidi" w:hAnsiTheme="majorBidi" w:cstheme="majorBidi"/>
                <w:b/>
                <w:bCs/>
                <w:color w:val="171717" w:themeColor="background2" w:themeShade="1A"/>
              </w:rPr>
            </w:pPr>
            <w:proofErr w:type="spellStart"/>
            <w:r w:rsidRPr="00E4767E">
              <w:rPr>
                <w:rFonts w:asciiTheme="majorBidi" w:hAnsiTheme="majorBidi" w:cstheme="majorBidi"/>
                <w:b/>
                <w:bCs/>
                <w:color w:val="171717" w:themeColor="background2" w:themeShade="1A"/>
              </w:rPr>
              <w:t>Graduate</w:t>
            </w:r>
            <w:proofErr w:type="spellEnd"/>
            <w:r>
              <w:rPr>
                <w:rFonts w:asciiTheme="majorBidi" w:hAnsiTheme="majorBidi" w:cstheme="majorBidi"/>
                <w:b/>
                <w:bCs/>
                <w:color w:val="171717" w:themeColor="background2" w:themeShade="1A"/>
              </w:rPr>
              <w:t xml:space="preserve">  </w:t>
            </w:r>
            <w:proofErr w:type="spellStart"/>
            <w:r>
              <w:rPr>
                <w:rFonts w:asciiTheme="majorBidi" w:hAnsiTheme="majorBidi" w:cstheme="majorBidi"/>
                <w:b/>
                <w:bCs/>
                <w:color w:val="171717" w:themeColor="background2" w:themeShade="1A"/>
              </w:rPr>
              <w:t>Degree</w:t>
            </w:r>
            <w:proofErr w:type="spellEnd"/>
            <w:r>
              <w:rPr>
                <w:rFonts w:asciiTheme="majorBidi" w:hAnsiTheme="majorBidi" w:cstheme="majorBidi"/>
                <w:b/>
                <w:bCs/>
                <w:color w:val="171717" w:themeColor="background2" w:themeShade="1A"/>
              </w:rPr>
              <w:t xml:space="preserve"> (%)</w:t>
            </w:r>
          </w:p>
        </w:tc>
        <w:tc>
          <w:tcPr>
            <w:tcW w:w="2063" w:type="dxa"/>
            <w:tcBorders>
              <w:top w:val="single" w:sz="12" w:space="0" w:color="000000" w:themeColor="text1"/>
              <w:left w:val="nil"/>
              <w:bottom w:val="single" w:sz="12" w:space="0" w:color="000000" w:themeColor="text1"/>
              <w:right w:val="nil"/>
            </w:tcBorders>
            <w:vAlign w:val="center"/>
          </w:tcPr>
          <w:p w:rsidR="00707ED5" w:rsidRPr="00E4767E" w:rsidRDefault="00707ED5" w:rsidP="001E0E99">
            <w:pPr>
              <w:jc w:val="center"/>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Immigrant</w:t>
            </w:r>
            <w:r>
              <w:rPr>
                <w:rFonts w:asciiTheme="majorBidi" w:hAnsiTheme="majorBidi" w:cstheme="majorBidi"/>
                <w:b/>
                <w:bCs/>
                <w:color w:val="171717" w:themeColor="background2" w:themeShade="1A"/>
              </w:rPr>
              <w:t xml:space="preserve"> (%)</w:t>
            </w:r>
          </w:p>
        </w:tc>
      </w:tr>
      <w:tr w:rsidR="00707ED5" w:rsidRPr="00E4767E" w:rsidTr="001E0E99">
        <w:trPr>
          <w:trHeight w:val="518"/>
        </w:trPr>
        <w:tc>
          <w:tcPr>
            <w:tcW w:w="1701" w:type="dxa"/>
            <w:tcBorders>
              <w:top w:val="single" w:sz="12" w:space="0" w:color="000000" w:themeColor="text1"/>
              <w:left w:val="nil"/>
              <w:bottom w:val="nil"/>
              <w:right w:val="single" w:sz="12" w:space="0" w:color="000000" w:themeColor="text1"/>
            </w:tcBorders>
            <w:vAlign w:val="center"/>
          </w:tcPr>
          <w:p w:rsidR="00707ED5" w:rsidRPr="00E4767E" w:rsidRDefault="00707ED5" w:rsidP="001E0E99">
            <w:pPr>
              <w:rPr>
                <w:rFonts w:asciiTheme="majorBidi" w:hAnsiTheme="majorBidi" w:cstheme="majorBidi"/>
                <w:b/>
                <w:bCs/>
                <w:color w:val="171717" w:themeColor="background2" w:themeShade="1A"/>
              </w:rPr>
            </w:pPr>
            <w:r>
              <w:rPr>
                <w:rFonts w:asciiTheme="majorBidi" w:hAnsiTheme="majorBidi" w:cstheme="majorBidi"/>
                <w:b/>
                <w:bCs/>
                <w:color w:val="171717" w:themeColor="background2" w:themeShade="1A"/>
              </w:rPr>
              <w:t>NL</w:t>
            </w:r>
          </w:p>
          <w:p w:rsidR="00707ED5" w:rsidRPr="00E4767E" w:rsidRDefault="00707ED5" w:rsidP="001E0E99">
            <w:pPr>
              <w:rPr>
                <w:rFonts w:asciiTheme="majorBidi" w:hAnsiTheme="majorBidi" w:cstheme="majorBidi"/>
                <w:color w:val="171717" w:themeColor="background2" w:themeShade="1A"/>
              </w:rPr>
            </w:pPr>
          </w:p>
        </w:tc>
        <w:tc>
          <w:tcPr>
            <w:tcW w:w="1843" w:type="dxa"/>
            <w:tcBorders>
              <w:top w:val="single" w:sz="12" w:space="0" w:color="000000" w:themeColor="text1"/>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10.2</w:t>
            </w:r>
          </w:p>
        </w:tc>
        <w:tc>
          <w:tcPr>
            <w:tcW w:w="1739" w:type="dxa"/>
            <w:tcBorders>
              <w:top w:val="single" w:sz="12" w:space="0" w:color="000000" w:themeColor="text1"/>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p>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12.8</w:t>
            </w:r>
          </w:p>
          <w:p w:rsidR="00707ED5" w:rsidRPr="00E4767E" w:rsidRDefault="00707ED5" w:rsidP="001E0E99">
            <w:pPr>
              <w:jc w:val="center"/>
              <w:rPr>
                <w:rFonts w:asciiTheme="majorBidi" w:hAnsiTheme="majorBidi" w:cstheme="majorBidi"/>
                <w:color w:val="171717" w:themeColor="background2" w:themeShade="1A"/>
              </w:rPr>
            </w:pPr>
          </w:p>
        </w:tc>
        <w:tc>
          <w:tcPr>
            <w:tcW w:w="1663" w:type="dxa"/>
            <w:tcBorders>
              <w:top w:val="single" w:sz="12" w:space="0" w:color="000000" w:themeColor="text1"/>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15.2</w:t>
            </w:r>
          </w:p>
        </w:tc>
        <w:tc>
          <w:tcPr>
            <w:tcW w:w="1481" w:type="dxa"/>
            <w:tcBorders>
              <w:top w:val="single" w:sz="12" w:space="0" w:color="000000" w:themeColor="text1"/>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4.7</w:t>
            </w:r>
          </w:p>
        </w:tc>
        <w:tc>
          <w:tcPr>
            <w:tcW w:w="2063" w:type="dxa"/>
            <w:tcBorders>
              <w:top w:val="single" w:sz="12" w:space="0" w:color="000000" w:themeColor="text1"/>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2.8</w:t>
            </w:r>
          </w:p>
        </w:tc>
      </w:tr>
      <w:tr w:rsidR="00707ED5" w:rsidRPr="00E4767E" w:rsidTr="001E0E99">
        <w:trPr>
          <w:trHeight w:val="690"/>
        </w:trPr>
        <w:tc>
          <w:tcPr>
            <w:tcW w:w="1701" w:type="dxa"/>
            <w:tcBorders>
              <w:top w:val="nil"/>
              <w:left w:val="nil"/>
              <w:bottom w:val="nil"/>
              <w:right w:val="single" w:sz="12" w:space="0" w:color="000000" w:themeColor="text1"/>
            </w:tcBorders>
            <w:vAlign w:val="center"/>
          </w:tcPr>
          <w:p w:rsidR="00707ED5" w:rsidRPr="00E4767E" w:rsidRDefault="00707ED5" w:rsidP="001E0E99">
            <w:pPr>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PEI</w:t>
            </w:r>
          </w:p>
          <w:p w:rsidR="00707ED5" w:rsidRPr="00E4767E" w:rsidRDefault="00707ED5" w:rsidP="001E0E99">
            <w:pPr>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17.6</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13.1</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20.1</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4.3</w:t>
            </w:r>
          </w:p>
          <w:p w:rsidR="00707ED5" w:rsidRPr="00E4767E" w:rsidRDefault="00707ED5" w:rsidP="001E0E99">
            <w:pPr>
              <w:jc w:val="center"/>
              <w:rPr>
                <w:rFonts w:asciiTheme="majorBidi" w:hAnsiTheme="majorBidi" w:cstheme="majorBidi"/>
                <w:color w:val="171717" w:themeColor="background2" w:themeShade="1A"/>
              </w:rPr>
            </w:pP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6.3</w:t>
            </w:r>
          </w:p>
        </w:tc>
      </w:tr>
      <w:tr w:rsidR="00707ED5" w:rsidRPr="00E4767E" w:rsidTr="001E0E99">
        <w:trPr>
          <w:trHeight w:val="690"/>
        </w:trPr>
        <w:tc>
          <w:tcPr>
            <w:tcW w:w="1701" w:type="dxa"/>
            <w:tcBorders>
              <w:top w:val="nil"/>
              <w:left w:val="nil"/>
              <w:bottom w:val="nil"/>
              <w:right w:val="single" w:sz="12" w:space="0" w:color="000000" w:themeColor="text1"/>
            </w:tcBorders>
            <w:vAlign w:val="center"/>
          </w:tcPr>
          <w:p w:rsidR="00707ED5" w:rsidRPr="00E4767E" w:rsidRDefault="00707ED5" w:rsidP="001E0E99">
            <w:pPr>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 xml:space="preserve">Nova </w:t>
            </w:r>
            <w:proofErr w:type="spellStart"/>
            <w:r w:rsidRPr="00E4767E">
              <w:rPr>
                <w:rFonts w:asciiTheme="majorBidi" w:hAnsiTheme="majorBidi" w:cstheme="majorBidi"/>
                <w:b/>
                <w:bCs/>
                <w:color w:val="171717" w:themeColor="background2" w:themeShade="1A"/>
              </w:rPr>
              <w:t>Scotia</w:t>
            </w:r>
            <w:proofErr w:type="spellEnd"/>
          </w:p>
          <w:p w:rsidR="00707ED5" w:rsidRPr="00E4767E" w:rsidRDefault="00707ED5" w:rsidP="001E0E99">
            <w:pPr>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20.8</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12.9</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21.3</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5.1</w:t>
            </w:r>
          </w:p>
          <w:p w:rsidR="00707ED5" w:rsidRPr="00E4767E" w:rsidRDefault="00707ED5" w:rsidP="001E0E99">
            <w:pPr>
              <w:jc w:val="center"/>
              <w:rPr>
                <w:rFonts w:asciiTheme="majorBidi" w:hAnsiTheme="majorBidi" w:cstheme="majorBidi"/>
                <w:color w:val="171717" w:themeColor="background2" w:themeShade="1A"/>
              </w:rPr>
            </w:pP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8.3</w:t>
            </w:r>
          </w:p>
        </w:tc>
      </w:tr>
      <w:tr w:rsidR="00707ED5" w:rsidRPr="00E4767E" w:rsidTr="001E0E99">
        <w:trPr>
          <w:trHeight w:val="690"/>
        </w:trPr>
        <w:tc>
          <w:tcPr>
            <w:tcW w:w="1701" w:type="dxa"/>
            <w:tcBorders>
              <w:top w:val="nil"/>
              <w:left w:val="nil"/>
              <w:bottom w:val="nil"/>
              <w:right w:val="single" w:sz="12" w:space="0" w:color="000000" w:themeColor="text1"/>
            </w:tcBorders>
            <w:vAlign w:val="center"/>
          </w:tcPr>
          <w:p w:rsidR="00707ED5" w:rsidRPr="00E4767E" w:rsidRDefault="00707ED5" w:rsidP="001E0E99">
            <w:pPr>
              <w:rPr>
                <w:rFonts w:asciiTheme="majorBidi" w:hAnsiTheme="majorBidi" w:cstheme="majorBidi"/>
                <w:b/>
                <w:bCs/>
                <w:color w:val="171717" w:themeColor="background2" w:themeShade="1A"/>
              </w:rPr>
            </w:pPr>
            <w:r>
              <w:rPr>
                <w:rFonts w:asciiTheme="majorBidi" w:hAnsiTheme="majorBidi" w:cstheme="majorBidi"/>
                <w:b/>
                <w:bCs/>
                <w:color w:val="171717" w:themeColor="background2" w:themeShade="1A"/>
              </w:rPr>
              <w:t>NB</w:t>
            </w:r>
          </w:p>
          <w:p w:rsidR="00707ED5" w:rsidRPr="00E4767E" w:rsidRDefault="00707ED5" w:rsidP="001E0E99">
            <w:pPr>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18.6</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12.8</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19.8</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5.1</w:t>
            </w: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4.7</w:t>
            </w:r>
          </w:p>
        </w:tc>
      </w:tr>
      <w:tr w:rsidR="00707ED5" w:rsidRPr="00E4767E" w:rsidTr="001E0E99">
        <w:trPr>
          <w:trHeight w:val="690"/>
        </w:trPr>
        <w:tc>
          <w:tcPr>
            <w:tcW w:w="1701" w:type="dxa"/>
            <w:tcBorders>
              <w:top w:val="nil"/>
              <w:left w:val="nil"/>
              <w:bottom w:val="nil"/>
              <w:right w:val="single" w:sz="12" w:space="0" w:color="000000" w:themeColor="text1"/>
            </w:tcBorders>
            <w:vAlign w:val="center"/>
          </w:tcPr>
          <w:p w:rsidR="00707ED5" w:rsidRPr="00E4767E" w:rsidRDefault="00707ED5" w:rsidP="001E0E99">
            <w:pPr>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Québec</w:t>
            </w:r>
          </w:p>
          <w:p w:rsidR="00707ED5" w:rsidRPr="00E4767E" w:rsidRDefault="00707ED5" w:rsidP="001E0E99">
            <w:pPr>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13.4</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12.9</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23.2</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6.5</w:t>
            </w: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12.4</w:t>
            </w:r>
          </w:p>
        </w:tc>
      </w:tr>
      <w:tr w:rsidR="00707ED5" w:rsidRPr="00E4767E" w:rsidTr="001E0E99">
        <w:trPr>
          <w:trHeight w:val="690"/>
        </w:trPr>
        <w:tc>
          <w:tcPr>
            <w:tcW w:w="1701" w:type="dxa"/>
            <w:tcBorders>
              <w:top w:val="nil"/>
              <w:left w:val="nil"/>
              <w:bottom w:val="nil"/>
              <w:right w:val="single" w:sz="12" w:space="0" w:color="000000" w:themeColor="text1"/>
            </w:tcBorders>
            <w:vAlign w:val="center"/>
          </w:tcPr>
          <w:p w:rsidR="00707ED5" w:rsidRPr="00E4767E" w:rsidRDefault="00707ED5" w:rsidP="001E0E99">
            <w:pPr>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Ontario</w:t>
            </w:r>
          </w:p>
          <w:p w:rsidR="00707ED5" w:rsidRPr="00E4767E" w:rsidRDefault="00707ED5" w:rsidP="001E0E99">
            <w:pPr>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14.5</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13.4</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27.9</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7.7</w:t>
            </w: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31.3</w:t>
            </w:r>
          </w:p>
        </w:tc>
      </w:tr>
      <w:tr w:rsidR="00707ED5" w:rsidRPr="00E4767E" w:rsidTr="001E0E99">
        <w:trPr>
          <w:trHeight w:val="690"/>
        </w:trPr>
        <w:tc>
          <w:tcPr>
            <w:tcW w:w="1701" w:type="dxa"/>
            <w:tcBorders>
              <w:top w:val="nil"/>
              <w:left w:val="nil"/>
              <w:bottom w:val="nil"/>
              <w:right w:val="single" w:sz="12" w:space="0" w:color="000000" w:themeColor="text1"/>
            </w:tcBorders>
            <w:vAlign w:val="center"/>
          </w:tcPr>
          <w:p w:rsidR="00707ED5" w:rsidRPr="00E4767E" w:rsidRDefault="00707ED5" w:rsidP="001E0E99">
            <w:pPr>
              <w:tabs>
                <w:tab w:val="left" w:pos="4568"/>
              </w:tabs>
              <w:rPr>
                <w:rFonts w:asciiTheme="majorBidi" w:hAnsiTheme="majorBidi" w:cstheme="majorBidi"/>
                <w:b/>
                <w:bCs/>
                <w:color w:val="171717" w:themeColor="background2" w:themeShade="1A"/>
              </w:rPr>
            </w:pPr>
          </w:p>
          <w:p w:rsidR="00707ED5" w:rsidRPr="00E4767E" w:rsidRDefault="00707ED5" w:rsidP="001E0E99">
            <w:pPr>
              <w:tabs>
                <w:tab w:val="left" w:pos="4568"/>
              </w:tabs>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Manitoba</w:t>
            </w:r>
          </w:p>
          <w:p w:rsidR="00707ED5" w:rsidRPr="00E4767E" w:rsidRDefault="00707ED5" w:rsidP="001E0E99">
            <w:pPr>
              <w:tabs>
                <w:tab w:val="left" w:pos="4568"/>
              </w:tabs>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p>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12.0</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p>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13.0</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p>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20.7</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p>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4.5</w:t>
            </w: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p>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19.2</w:t>
            </w:r>
          </w:p>
        </w:tc>
      </w:tr>
      <w:tr w:rsidR="00707ED5" w:rsidRPr="00E4767E" w:rsidTr="001E0E99">
        <w:trPr>
          <w:trHeight w:val="1168"/>
        </w:trPr>
        <w:tc>
          <w:tcPr>
            <w:tcW w:w="1701" w:type="dxa"/>
            <w:tcBorders>
              <w:top w:val="nil"/>
              <w:left w:val="nil"/>
              <w:bottom w:val="nil"/>
              <w:right w:val="single" w:sz="12" w:space="0" w:color="000000" w:themeColor="text1"/>
            </w:tcBorders>
            <w:vAlign w:val="center"/>
          </w:tcPr>
          <w:p w:rsidR="00707ED5" w:rsidRPr="00E4767E" w:rsidRDefault="00707ED5" w:rsidP="001E0E99">
            <w:pPr>
              <w:tabs>
                <w:tab w:val="left" w:pos="4568"/>
              </w:tabs>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Saskatchewan</w:t>
            </w:r>
          </w:p>
          <w:p w:rsidR="00707ED5" w:rsidRPr="00E4767E" w:rsidRDefault="00707ED5" w:rsidP="001E0E99">
            <w:pPr>
              <w:tabs>
                <w:tab w:val="left" w:pos="4568"/>
              </w:tabs>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14.5</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12.9</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18.0</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4.4</w:t>
            </w: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8.3</w:t>
            </w:r>
          </w:p>
        </w:tc>
      </w:tr>
      <w:tr w:rsidR="00707ED5" w:rsidRPr="00E4767E" w:rsidTr="001E0E99">
        <w:trPr>
          <w:trHeight w:val="690"/>
        </w:trPr>
        <w:tc>
          <w:tcPr>
            <w:tcW w:w="1701" w:type="dxa"/>
            <w:tcBorders>
              <w:top w:val="nil"/>
              <w:left w:val="nil"/>
              <w:bottom w:val="nil"/>
              <w:right w:val="single" w:sz="12" w:space="0" w:color="000000" w:themeColor="text1"/>
            </w:tcBorders>
            <w:vAlign w:val="center"/>
          </w:tcPr>
          <w:p w:rsidR="00707ED5" w:rsidRPr="00E4767E" w:rsidRDefault="00707ED5" w:rsidP="001E0E99">
            <w:pPr>
              <w:tabs>
                <w:tab w:val="left" w:pos="4568"/>
              </w:tabs>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Alberta</w:t>
            </w:r>
          </w:p>
          <w:p w:rsidR="00707ED5" w:rsidRPr="00E4767E" w:rsidRDefault="00707ED5" w:rsidP="001E0E99">
            <w:pPr>
              <w:tabs>
                <w:tab w:val="left" w:pos="4568"/>
              </w:tabs>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13.0</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13.3</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20.8</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4.9</w:t>
            </w: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19.0</w:t>
            </w:r>
          </w:p>
        </w:tc>
      </w:tr>
      <w:tr w:rsidR="00707ED5" w:rsidRPr="00E4767E" w:rsidTr="001E0E99">
        <w:trPr>
          <w:trHeight w:val="891"/>
        </w:trPr>
        <w:tc>
          <w:tcPr>
            <w:tcW w:w="1701" w:type="dxa"/>
            <w:tcBorders>
              <w:top w:val="nil"/>
              <w:left w:val="nil"/>
              <w:bottom w:val="nil"/>
              <w:right w:val="single" w:sz="12" w:space="0" w:color="000000" w:themeColor="text1"/>
            </w:tcBorders>
            <w:vAlign w:val="center"/>
          </w:tcPr>
          <w:p w:rsidR="00707ED5" w:rsidRPr="00E4767E" w:rsidRDefault="00707ED5" w:rsidP="001E0E99">
            <w:pPr>
              <w:tabs>
                <w:tab w:val="left" w:pos="4568"/>
              </w:tabs>
              <w:rPr>
                <w:rFonts w:asciiTheme="majorBidi" w:hAnsiTheme="majorBidi" w:cstheme="majorBidi"/>
                <w:b/>
                <w:bCs/>
                <w:color w:val="171717" w:themeColor="background2" w:themeShade="1A"/>
              </w:rPr>
            </w:pPr>
            <w:r>
              <w:rPr>
                <w:rFonts w:asciiTheme="majorBidi" w:hAnsiTheme="majorBidi" w:cstheme="majorBidi"/>
                <w:b/>
                <w:bCs/>
                <w:color w:val="171717" w:themeColor="background2" w:themeShade="1A"/>
              </w:rPr>
              <w:t>BC</w:t>
            </w:r>
          </w:p>
          <w:p w:rsidR="00707ED5" w:rsidRPr="00E4767E" w:rsidRDefault="00707ED5" w:rsidP="001E0E99">
            <w:pPr>
              <w:tabs>
                <w:tab w:val="left" w:pos="4568"/>
              </w:tabs>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16.0</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13.6</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p>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25.2</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p>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7.6</w:t>
            </w: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28.8</w:t>
            </w:r>
          </w:p>
        </w:tc>
      </w:tr>
      <w:tr w:rsidR="00707ED5" w:rsidRPr="00E4767E" w:rsidTr="001E0E99">
        <w:trPr>
          <w:trHeight w:val="1386"/>
        </w:trPr>
        <w:tc>
          <w:tcPr>
            <w:tcW w:w="1701" w:type="dxa"/>
            <w:tcBorders>
              <w:top w:val="nil"/>
              <w:left w:val="nil"/>
              <w:bottom w:val="nil"/>
              <w:right w:val="single" w:sz="12" w:space="0" w:color="000000" w:themeColor="text1"/>
            </w:tcBorders>
            <w:vAlign w:val="center"/>
          </w:tcPr>
          <w:p w:rsidR="00707ED5" w:rsidRPr="00E4767E" w:rsidRDefault="00707ED5" w:rsidP="001E0E99">
            <w:pPr>
              <w:tabs>
                <w:tab w:val="left" w:pos="4568"/>
              </w:tabs>
              <w:rPr>
                <w:rFonts w:asciiTheme="majorBidi" w:hAnsiTheme="majorBidi" w:cstheme="majorBidi"/>
                <w:b/>
                <w:bCs/>
                <w:color w:val="171717" w:themeColor="background2" w:themeShade="1A"/>
              </w:rPr>
            </w:pPr>
            <w:proofErr w:type="spellStart"/>
            <w:r w:rsidRPr="00E4767E">
              <w:rPr>
                <w:rFonts w:asciiTheme="majorBidi" w:hAnsiTheme="majorBidi" w:cstheme="majorBidi"/>
                <w:b/>
                <w:bCs/>
                <w:color w:val="171717" w:themeColor="background2" w:themeShade="1A"/>
              </w:rPr>
              <w:t>Female</w:t>
            </w:r>
            <w:proofErr w:type="spellEnd"/>
          </w:p>
          <w:p w:rsidR="00707ED5" w:rsidRPr="00E4767E" w:rsidRDefault="00707ED5" w:rsidP="001E0E99">
            <w:pPr>
              <w:tabs>
                <w:tab w:val="left" w:pos="4568"/>
              </w:tabs>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18.7</w:t>
            </w:r>
          </w:p>
        </w:tc>
        <w:tc>
          <w:tcPr>
            <w:tcW w:w="1739"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13.2</w:t>
            </w:r>
          </w:p>
        </w:tc>
        <w:tc>
          <w:tcPr>
            <w:tcW w:w="1663"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24.7</w:t>
            </w:r>
          </w:p>
        </w:tc>
        <w:tc>
          <w:tcPr>
            <w:tcW w:w="1481" w:type="dxa"/>
            <w:tcBorders>
              <w:top w:val="nil"/>
              <w:left w:val="single" w:sz="12" w:space="0" w:color="000000" w:themeColor="text1"/>
              <w:bottom w:val="nil"/>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5.7</w:t>
            </w:r>
          </w:p>
        </w:tc>
        <w:tc>
          <w:tcPr>
            <w:tcW w:w="2063" w:type="dxa"/>
            <w:tcBorders>
              <w:top w:val="nil"/>
              <w:left w:val="single" w:sz="12" w:space="0" w:color="000000" w:themeColor="text1"/>
              <w:bottom w:val="nil"/>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21.6</w:t>
            </w:r>
          </w:p>
        </w:tc>
      </w:tr>
      <w:tr w:rsidR="00707ED5" w:rsidRPr="00E4767E" w:rsidTr="001E0E99">
        <w:trPr>
          <w:trHeight w:val="559"/>
        </w:trPr>
        <w:tc>
          <w:tcPr>
            <w:tcW w:w="1701" w:type="dxa"/>
            <w:tcBorders>
              <w:top w:val="nil"/>
              <w:left w:val="nil"/>
              <w:bottom w:val="single" w:sz="12" w:space="0" w:color="000000" w:themeColor="text1"/>
              <w:right w:val="single" w:sz="12" w:space="0" w:color="000000" w:themeColor="text1"/>
            </w:tcBorders>
            <w:vAlign w:val="center"/>
          </w:tcPr>
          <w:p w:rsidR="00707ED5" w:rsidRPr="00E4767E" w:rsidRDefault="00707ED5" w:rsidP="001E0E99">
            <w:pPr>
              <w:tabs>
                <w:tab w:val="left" w:pos="4568"/>
              </w:tabs>
              <w:rPr>
                <w:rFonts w:asciiTheme="majorBidi" w:hAnsiTheme="majorBidi" w:cstheme="majorBidi"/>
                <w:b/>
                <w:bCs/>
                <w:color w:val="171717" w:themeColor="background2" w:themeShade="1A"/>
              </w:rPr>
            </w:pPr>
            <w:r w:rsidRPr="00E4767E">
              <w:rPr>
                <w:rFonts w:asciiTheme="majorBidi" w:hAnsiTheme="majorBidi" w:cstheme="majorBidi"/>
                <w:b/>
                <w:bCs/>
                <w:color w:val="171717" w:themeColor="background2" w:themeShade="1A"/>
              </w:rPr>
              <w:t>Male</w:t>
            </w:r>
          </w:p>
          <w:p w:rsidR="00707ED5" w:rsidRPr="00E4767E" w:rsidRDefault="00707ED5" w:rsidP="001E0E99">
            <w:pPr>
              <w:tabs>
                <w:tab w:val="left" w:pos="4568"/>
              </w:tabs>
              <w:rPr>
                <w:rFonts w:asciiTheme="majorBidi" w:hAnsiTheme="majorBidi" w:cstheme="majorBidi"/>
                <w:b/>
                <w:bCs/>
                <w:color w:val="171717" w:themeColor="background2" w:themeShade="1A"/>
              </w:rPr>
            </w:pPr>
          </w:p>
        </w:tc>
        <w:tc>
          <w:tcPr>
            <w:tcW w:w="1843" w:type="dxa"/>
            <w:tcBorders>
              <w:top w:val="nil"/>
              <w:left w:val="single" w:sz="12" w:space="0" w:color="000000" w:themeColor="text1"/>
              <w:bottom w:val="single" w:sz="12" w:space="0" w:color="000000" w:themeColor="text1"/>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Pr>
                <w:rFonts w:asciiTheme="majorBidi" w:hAnsiTheme="majorBidi" w:cstheme="majorBidi"/>
                <w:color w:val="171717" w:themeColor="background2" w:themeShade="1A"/>
              </w:rPr>
              <w:t>24.4</w:t>
            </w:r>
          </w:p>
        </w:tc>
        <w:tc>
          <w:tcPr>
            <w:tcW w:w="1739" w:type="dxa"/>
            <w:tcBorders>
              <w:top w:val="nil"/>
              <w:left w:val="single" w:sz="12" w:space="0" w:color="000000" w:themeColor="text1"/>
              <w:bottom w:val="single" w:sz="12" w:space="0" w:color="000000" w:themeColor="text1"/>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13.2</w:t>
            </w:r>
          </w:p>
        </w:tc>
        <w:tc>
          <w:tcPr>
            <w:tcW w:w="1663" w:type="dxa"/>
            <w:tcBorders>
              <w:top w:val="nil"/>
              <w:left w:val="single" w:sz="12" w:space="0" w:color="000000" w:themeColor="text1"/>
              <w:bottom w:val="single" w:sz="12" w:space="0" w:color="000000" w:themeColor="text1"/>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24.4</w:t>
            </w:r>
          </w:p>
        </w:tc>
        <w:tc>
          <w:tcPr>
            <w:tcW w:w="1481" w:type="dxa"/>
            <w:tcBorders>
              <w:top w:val="nil"/>
              <w:left w:val="single" w:sz="12" w:space="0" w:color="000000" w:themeColor="text1"/>
              <w:bottom w:val="single" w:sz="12" w:space="0" w:color="000000" w:themeColor="text1"/>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7.8</w:t>
            </w:r>
          </w:p>
        </w:tc>
        <w:tc>
          <w:tcPr>
            <w:tcW w:w="2063" w:type="dxa"/>
            <w:tcBorders>
              <w:top w:val="nil"/>
              <w:left w:val="single" w:sz="12" w:space="0" w:color="000000" w:themeColor="text1"/>
              <w:bottom w:val="single" w:sz="12" w:space="0" w:color="000000" w:themeColor="text1"/>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23.1</w:t>
            </w:r>
          </w:p>
        </w:tc>
      </w:tr>
      <w:tr w:rsidR="00707ED5" w:rsidRPr="00E4767E" w:rsidTr="001E0E99">
        <w:trPr>
          <w:trHeight w:val="604"/>
        </w:trPr>
        <w:tc>
          <w:tcPr>
            <w:tcW w:w="1701" w:type="dxa"/>
            <w:tcBorders>
              <w:top w:val="single" w:sz="12" w:space="0" w:color="000000" w:themeColor="text1"/>
              <w:left w:val="nil"/>
              <w:bottom w:val="single" w:sz="12" w:space="0" w:color="000000" w:themeColor="text1"/>
              <w:right w:val="single" w:sz="12" w:space="0" w:color="000000" w:themeColor="text1"/>
            </w:tcBorders>
            <w:vAlign w:val="center"/>
          </w:tcPr>
          <w:p w:rsidR="00707ED5" w:rsidRPr="00E4767E" w:rsidRDefault="00707ED5" w:rsidP="001E0E99">
            <w:pPr>
              <w:tabs>
                <w:tab w:val="left" w:pos="4568"/>
              </w:tabs>
              <w:rPr>
                <w:rFonts w:asciiTheme="majorBidi" w:hAnsiTheme="majorBidi" w:cstheme="majorBidi"/>
                <w:b/>
                <w:bCs/>
                <w:color w:val="171717" w:themeColor="background2" w:themeShade="1A"/>
              </w:rPr>
            </w:pPr>
            <w:proofErr w:type="spellStart"/>
            <w:r w:rsidRPr="00E4767E">
              <w:rPr>
                <w:rFonts w:asciiTheme="majorBidi" w:hAnsiTheme="majorBidi" w:cstheme="majorBidi"/>
                <w:b/>
                <w:bCs/>
                <w:color w:val="171717" w:themeColor="background2" w:themeShade="1A"/>
              </w:rPr>
              <w:t>Sample</w:t>
            </w:r>
            <w:proofErr w:type="spellEnd"/>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21.9</w:t>
            </w:r>
          </w:p>
        </w:tc>
        <w:tc>
          <w:tcPr>
            <w:tcW w:w="17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13.2</w:t>
            </w:r>
          </w:p>
        </w:tc>
        <w:tc>
          <w:tcPr>
            <w:tcW w:w="16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24.5</w:t>
            </w:r>
          </w:p>
        </w:tc>
        <w:tc>
          <w:tcPr>
            <w:tcW w:w="14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6.7</w:t>
            </w:r>
          </w:p>
        </w:tc>
        <w:tc>
          <w:tcPr>
            <w:tcW w:w="2063" w:type="dxa"/>
            <w:tcBorders>
              <w:top w:val="single" w:sz="12" w:space="0" w:color="000000" w:themeColor="text1"/>
              <w:left w:val="single" w:sz="12" w:space="0" w:color="000000" w:themeColor="text1"/>
              <w:bottom w:val="single" w:sz="12" w:space="0" w:color="000000" w:themeColor="text1"/>
              <w:right w:val="nil"/>
            </w:tcBorders>
            <w:vAlign w:val="center"/>
          </w:tcPr>
          <w:p w:rsidR="00707ED5" w:rsidRPr="00E4767E" w:rsidRDefault="00707ED5" w:rsidP="001E0E99">
            <w:pPr>
              <w:jc w:val="center"/>
              <w:rPr>
                <w:rFonts w:asciiTheme="majorBidi" w:hAnsiTheme="majorBidi" w:cstheme="majorBidi"/>
                <w:color w:val="171717" w:themeColor="background2" w:themeShade="1A"/>
              </w:rPr>
            </w:pPr>
            <w:r w:rsidRPr="00E4767E">
              <w:rPr>
                <w:rFonts w:asciiTheme="majorBidi" w:hAnsiTheme="majorBidi" w:cstheme="majorBidi"/>
                <w:color w:val="171717" w:themeColor="background2" w:themeShade="1A"/>
              </w:rPr>
              <w:t>22.3</w:t>
            </w:r>
          </w:p>
        </w:tc>
      </w:tr>
      <w:tr w:rsidR="00707ED5" w:rsidRPr="00E4767E" w:rsidTr="001E0E99">
        <w:trPr>
          <w:trHeight w:val="690"/>
        </w:trPr>
        <w:tc>
          <w:tcPr>
            <w:tcW w:w="10490" w:type="dxa"/>
            <w:gridSpan w:val="6"/>
            <w:tcBorders>
              <w:top w:val="single" w:sz="12" w:space="0" w:color="000000" w:themeColor="text1"/>
              <w:left w:val="nil"/>
              <w:bottom w:val="single" w:sz="12" w:space="0" w:color="000000" w:themeColor="text1"/>
              <w:right w:val="nil"/>
            </w:tcBorders>
            <w:vAlign w:val="center"/>
          </w:tcPr>
          <w:p w:rsidR="00707ED5" w:rsidRPr="00E4767E" w:rsidRDefault="00707ED5" w:rsidP="001E0E99">
            <w:pPr>
              <w:jc w:val="both"/>
              <w:rPr>
                <w:rFonts w:asciiTheme="majorBidi" w:hAnsiTheme="majorBidi" w:cstheme="majorBidi"/>
              </w:rPr>
            </w:pPr>
            <w:proofErr w:type="gramStart"/>
            <w:r w:rsidRPr="00E4767E">
              <w:rPr>
                <w:rFonts w:asciiTheme="majorBidi" w:hAnsiTheme="majorBidi" w:cstheme="majorBidi"/>
                <w:b/>
                <w:bCs/>
              </w:rPr>
              <w:t>Note:</w:t>
            </w:r>
            <w:proofErr w:type="gramEnd"/>
            <w:r w:rsidRPr="00E4767E">
              <w:rPr>
                <w:rFonts w:asciiTheme="majorBidi" w:hAnsiTheme="majorBidi" w:cstheme="majorBidi"/>
                <w:b/>
                <w:bCs/>
              </w:rPr>
              <w:t xml:space="preserve"> </w:t>
            </w:r>
            <w:r>
              <w:rPr>
                <w:rFonts w:asciiTheme="majorBidi" w:hAnsiTheme="majorBidi" w:cstheme="majorBidi"/>
              </w:rPr>
              <w:t>The d</w:t>
            </w:r>
            <w:r w:rsidRPr="00E4767E">
              <w:rPr>
                <w:rFonts w:asciiTheme="majorBidi" w:hAnsiTheme="majorBidi" w:cstheme="majorBidi"/>
              </w:rPr>
              <w:t xml:space="preserve">ata source </w:t>
            </w:r>
            <w:proofErr w:type="spellStart"/>
            <w:r w:rsidRPr="00E4767E">
              <w:rPr>
                <w:rFonts w:asciiTheme="majorBidi" w:hAnsiTheme="majorBidi" w:cstheme="majorBidi"/>
              </w:rPr>
              <w:t>is</w:t>
            </w:r>
            <w:proofErr w:type="spellEnd"/>
            <w:r w:rsidRPr="00E4767E">
              <w:rPr>
                <w:rFonts w:asciiTheme="majorBidi" w:hAnsiTheme="majorBidi" w:cstheme="majorBidi"/>
              </w:rPr>
              <w:t xml:space="preserve"> </w:t>
            </w:r>
            <w:r>
              <w:rPr>
                <w:rFonts w:asciiTheme="majorBidi" w:hAnsiTheme="majorBidi" w:cstheme="majorBidi"/>
              </w:rPr>
              <w:t xml:space="preserve">the General Social Survey of </w:t>
            </w:r>
            <w:r w:rsidRPr="00C65129">
              <w:rPr>
                <w:rFonts w:asciiTheme="majorBidi" w:hAnsiTheme="majorBidi" w:cstheme="majorBidi"/>
              </w:rPr>
              <w:t xml:space="preserve"> 2011</w:t>
            </w:r>
            <w:r>
              <w:rPr>
                <w:rFonts w:asciiTheme="majorBidi" w:hAnsiTheme="majorBidi" w:cstheme="majorBidi"/>
              </w:rPr>
              <w:t xml:space="preserve">, </w:t>
            </w:r>
            <w:proofErr w:type="spellStart"/>
            <w:r>
              <w:rPr>
                <w:rFonts w:asciiTheme="majorBidi" w:hAnsiTheme="majorBidi" w:cstheme="majorBidi"/>
              </w:rPr>
              <w:t>collected</w:t>
            </w:r>
            <w:proofErr w:type="spellEnd"/>
            <w:r>
              <w:rPr>
                <w:rFonts w:asciiTheme="majorBidi" w:hAnsiTheme="majorBidi" w:cstheme="majorBidi"/>
              </w:rPr>
              <w:t xml:space="preserve"> by </w:t>
            </w:r>
            <w:proofErr w:type="spellStart"/>
            <w:r>
              <w:rPr>
                <w:rFonts w:asciiTheme="majorBidi" w:hAnsiTheme="majorBidi" w:cstheme="majorBidi"/>
              </w:rPr>
              <w:t>Statistics</w:t>
            </w:r>
            <w:proofErr w:type="spellEnd"/>
            <w:r>
              <w:rPr>
                <w:rFonts w:asciiTheme="majorBidi" w:hAnsiTheme="majorBidi" w:cstheme="majorBidi"/>
              </w:rPr>
              <w:t xml:space="preserve"> Canada</w:t>
            </w:r>
            <w:r w:rsidRPr="00E4767E">
              <w:rPr>
                <w:rFonts w:asciiTheme="majorBidi" w:hAnsiTheme="majorBidi" w:cstheme="majorBidi"/>
              </w:rPr>
              <w:t xml:space="preserve">. </w:t>
            </w:r>
            <w:proofErr w:type="spellStart"/>
            <w:r w:rsidRPr="00E4767E">
              <w:rPr>
                <w:rFonts w:asciiTheme="majorBidi" w:hAnsiTheme="majorBidi" w:cstheme="majorBidi"/>
              </w:rPr>
              <w:t>Sample</w:t>
            </w:r>
            <w:proofErr w:type="spellEnd"/>
            <w:r w:rsidRPr="00E4767E">
              <w:rPr>
                <w:rFonts w:asciiTheme="majorBidi" w:hAnsiTheme="majorBidi" w:cstheme="majorBidi"/>
              </w:rPr>
              <w:t xml:space="preserve"> </w:t>
            </w:r>
            <w:proofErr w:type="spellStart"/>
            <w:r w:rsidRPr="00E4767E">
              <w:rPr>
                <w:rFonts w:asciiTheme="majorBidi" w:hAnsiTheme="majorBidi" w:cstheme="majorBidi"/>
              </w:rPr>
              <w:t>weights</w:t>
            </w:r>
            <w:proofErr w:type="spellEnd"/>
            <w:r w:rsidRPr="00E4767E">
              <w:rPr>
                <w:rFonts w:asciiTheme="majorBidi" w:hAnsiTheme="majorBidi" w:cstheme="majorBidi"/>
              </w:rPr>
              <w:t xml:space="preserve"> are </w:t>
            </w:r>
            <w:proofErr w:type="spellStart"/>
            <w:r w:rsidRPr="00E4767E">
              <w:rPr>
                <w:rFonts w:asciiTheme="majorBidi" w:hAnsiTheme="majorBidi" w:cstheme="majorBidi"/>
              </w:rPr>
              <w:t>applied</w:t>
            </w:r>
            <w:proofErr w:type="spellEnd"/>
            <w:r w:rsidRPr="00E4767E">
              <w:rPr>
                <w:rFonts w:asciiTheme="majorBidi" w:hAnsiTheme="majorBidi" w:cstheme="majorBidi"/>
              </w:rPr>
              <w:t xml:space="preserve">. </w:t>
            </w:r>
          </w:p>
        </w:tc>
      </w:tr>
    </w:tbl>
    <w:p w:rsidR="00707ED5" w:rsidRDefault="00707ED5">
      <w:pPr>
        <w:rPr>
          <w:rFonts w:ascii="Times New Roman" w:hAnsi="Times New Roman" w:cs="Times New Roman"/>
        </w:rPr>
      </w:pPr>
      <w:r>
        <w:rPr>
          <w:rFonts w:ascii="Times New Roman" w:hAnsi="Times New Roman" w:cs="Times New Roman"/>
        </w:rPr>
        <w:br w:type="page"/>
      </w:r>
    </w:p>
    <w:p w:rsidR="00707ED5" w:rsidRDefault="00707ED5" w:rsidP="00443863">
      <w:pPr>
        <w:spacing w:after="0" w:line="480" w:lineRule="auto"/>
        <w:ind w:firstLine="709"/>
        <w:jc w:val="both"/>
        <w:rPr>
          <w:rFonts w:ascii="Times New Roman" w:hAnsi="Times New Roman" w:cs="Times New Roman"/>
        </w:rPr>
      </w:pPr>
    </w:p>
    <w:p w:rsidR="00B9029E" w:rsidRPr="002F4250" w:rsidRDefault="00FC5CB4" w:rsidP="00443863">
      <w:pPr>
        <w:spacing w:after="0" w:line="480" w:lineRule="auto"/>
        <w:ind w:firstLine="709"/>
        <w:jc w:val="both"/>
        <w:rPr>
          <w:rFonts w:ascii="Times New Roman" w:hAnsi="Times New Roman" w:cs="Times New Roman"/>
        </w:rPr>
      </w:pPr>
      <w:r w:rsidRPr="002F4250">
        <w:rPr>
          <w:rFonts w:ascii="Times New Roman" w:hAnsi="Times New Roman" w:cs="Times New Roman"/>
        </w:rPr>
        <w:t xml:space="preserve">There are four questions in the GSS that explicitly deal with financial resilience of the respondent. </w:t>
      </w:r>
      <w:r w:rsidR="00707ED5">
        <w:rPr>
          <w:rFonts w:ascii="Times New Roman" w:hAnsi="Times New Roman" w:cs="Times New Roman"/>
        </w:rPr>
        <w:br/>
      </w:r>
      <w:r w:rsidRPr="002F4250">
        <w:rPr>
          <w:rFonts w:ascii="Times New Roman" w:hAnsi="Times New Roman" w:cs="Times New Roman"/>
        </w:rPr>
        <w:t>First, the respondents were asked whether after meeting their financial obligations, the</w:t>
      </w:r>
      <w:r w:rsidR="007F309A" w:rsidRPr="002F4250">
        <w:rPr>
          <w:rFonts w:ascii="Times New Roman" w:hAnsi="Times New Roman" w:cs="Times New Roman"/>
        </w:rPr>
        <w:t>y are left with any fund to save</w:t>
      </w:r>
      <w:r w:rsidRPr="002F4250">
        <w:rPr>
          <w:rFonts w:ascii="Times New Roman" w:hAnsi="Times New Roman" w:cs="Times New Roman"/>
        </w:rPr>
        <w:t xml:space="preserve"> for emergency or larger expenses. Second, the respondents are asked whether in the past twelve months, they have failed to pay (</w:t>
      </w:r>
      <w:proofErr w:type="spellStart"/>
      <w:r w:rsidRPr="002F4250">
        <w:rPr>
          <w:rFonts w:ascii="Times New Roman" w:hAnsi="Times New Roman" w:cs="Times New Roman"/>
        </w:rPr>
        <w:t>i</w:t>
      </w:r>
      <w:proofErr w:type="spellEnd"/>
      <w:r w:rsidRPr="002F4250">
        <w:rPr>
          <w:rFonts w:ascii="Times New Roman" w:hAnsi="Times New Roman" w:cs="Times New Roman"/>
        </w:rPr>
        <w:t>) their rent or mortgage; (ii) their utility bills; (iii) an instalment on a loan. To quanti</w:t>
      </w:r>
      <w:r w:rsidR="00A76881" w:rsidRPr="002F4250">
        <w:rPr>
          <w:rFonts w:ascii="Times New Roman" w:hAnsi="Times New Roman" w:cs="Times New Roman"/>
        </w:rPr>
        <w:t>fy the incidence of “financial vulnerability</w:t>
      </w:r>
      <w:r w:rsidRPr="002F4250">
        <w:rPr>
          <w:rFonts w:ascii="Times New Roman" w:hAnsi="Times New Roman" w:cs="Times New Roman"/>
        </w:rPr>
        <w:t>,” a dummy is created to take the value of one for individuals who responded affirmatively to at least one of these questions. Figures 1 to 4 depict the percentage of individuals who have failed to meet their financial obligations against those unable to save, by province of residence. As the figures illustrate, there are some non-negligible variation</w:t>
      </w:r>
      <w:r w:rsidR="00B9229D" w:rsidRPr="002F4250">
        <w:rPr>
          <w:rFonts w:ascii="Times New Roman" w:hAnsi="Times New Roman" w:cs="Times New Roman"/>
        </w:rPr>
        <w:t>s</w:t>
      </w:r>
      <w:r w:rsidRPr="002F4250">
        <w:rPr>
          <w:rFonts w:ascii="Times New Roman" w:hAnsi="Times New Roman" w:cs="Times New Roman"/>
        </w:rPr>
        <w:t xml:space="preserve"> across Canadian provinces. </w:t>
      </w:r>
    </w:p>
    <w:p w:rsidR="00AB603B" w:rsidRPr="00AB603B" w:rsidRDefault="00AB603B" w:rsidP="00AB603B">
      <w:pPr>
        <w:rPr>
          <w:rFonts w:ascii="Times New Roman" w:hAnsi="Times New Roman" w:cs="Times New Roman"/>
          <w:b/>
          <w:sz w:val="24"/>
        </w:rPr>
      </w:pPr>
      <w:r w:rsidRPr="00AB603B">
        <w:rPr>
          <w:rFonts w:ascii="Times New Roman" w:hAnsi="Times New Roman" w:cs="Times New Roman"/>
          <w:b/>
          <w:sz w:val="24"/>
        </w:rPr>
        <w:t>Figures</w:t>
      </w:r>
      <w:r w:rsidRPr="00AB603B">
        <w:rPr>
          <w:rStyle w:val="FootnoteReference"/>
          <w:rFonts w:ascii="Times New Roman" w:hAnsi="Times New Roman" w:cs="Times New Roman"/>
          <w:b/>
          <w:sz w:val="24"/>
        </w:rPr>
        <w:footnoteReference w:id="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9360"/>
      </w:tblGrid>
      <w:tr w:rsidR="00AB603B" w:rsidTr="00AB603B">
        <w:trPr>
          <w:trHeight w:val="400"/>
        </w:trPr>
        <w:tc>
          <w:tcPr>
            <w:tcW w:w="9360" w:type="dxa"/>
            <w:vAlign w:val="center"/>
          </w:tcPr>
          <w:p w:rsidR="00AB603B" w:rsidRDefault="00AB603B" w:rsidP="0054406E">
            <w:r>
              <w:rPr>
                <w:rFonts w:ascii="Times New Roman" w:hAnsi="Times New Roman" w:cs="Times New Roman"/>
                <w:b/>
              </w:rPr>
              <w:t xml:space="preserve">Figure 1. </w:t>
            </w:r>
            <w:proofErr w:type="spellStart"/>
            <w:r>
              <w:rPr>
                <w:rFonts w:ascii="Times New Roman" w:hAnsi="Times New Roman" w:cs="Times New Roman"/>
                <w:b/>
              </w:rPr>
              <w:t>Failed</w:t>
            </w:r>
            <w:proofErr w:type="spellEnd"/>
            <w:r>
              <w:rPr>
                <w:rFonts w:ascii="Times New Roman" w:hAnsi="Times New Roman" w:cs="Times New Roman"/>
                <w:b/>
              </w:rPr>
              <w:t xml:space="preserve"> to </w:t>
            </w:r>
            <w:proofErr w:type="spellStart"/>
            <w:r>
              <w:rPr>
                <w:rFonts w:ascii="Times New Roman" w:hAnsi="Times New Roman" w:cs="Times New Roman"/>
                <w:b/>
              </w:rPr>
              <w:t>Pay</w:t>
            </w:r>
            <w:proofErr w:type="spellEnd"/>
            <w:r>
              <w:rPr>
                <w:rFonts w:ascii="Times New Roman" w:hAnsi="Times New Roman" w:cs="Times New Roman"/>
                <w:b/>
              </w:rPr>
              <w:t xml:space="preserve"> </w:t>
            </w:r>
            <w:proofErr w:type="spellStart"/>
            <w:r>
              <w:rPr>
                <w:rFonts w:ascii="Times New Roman" w:hAnsi="Times New Roman" w:cs="Times New Roman"/>
                <w:b/>
              </w:rPr>
              <w:t>Rent</w:t>
            </w:r>
            <w:proofErr w:type="spellEnd"/>
            <w:r>
              <w:rPr>
                <w:rFonts w:ascii="Times New Roman" w:hAnsi="Times New Roman" w:cs="Times New Roman"/>
                <w:b/>
              </w:rPr>
              <w:t>/</w:t>
            </w:r>
            <w:proofErr w:type="spellStart"/>
            <w:r>
              <w:rPr>
                <w:rFonts w:ascii="Times New Roman" w:hAnsi="Times New Roman" w:cs="Times New Roman"/>
                <w:b/>
              </w:rPr>
              <w:t>Mortgage</w:t>
            </w:r>
            <w:proofErr w:type="spellEnd"/>
            <w:r>
              <w:rPr>
                <w:rFonts w:ascii="Times New Roman" w:hAnsi="Times New Roman" w:cs="Times New Roman"/>
                <w:b/>
              </w:rPr>
              <w:t xml:space="preserve"> and </w:t>
            </w:r>
            <w:proofErr w:type="spellStart"/>
            <w:r>
              <w:rPr>
                <w:rFonts w:ascii="Times New Roman" w:hAnsi="Times New Roman" w:cs="Times New Roman"/>
                <w:b/>
              </w:rPr>
              <w:t>Ability</w:t>
            </w:r>
            <w:proofErr w:type="spellEnd"/>
            <w:r>
              <w:rPr>
                <w:rFonts w:ascii="Times New Roman" w:hAnsi="Times New Roman" w:cs="Times New Roman"/>
                <w:b/>
              </w:rPr>
              <w:t xml:space="preserve"> to Save</w:t>
            </w:r>
          </w:p>
        </w:tc>
      </w:tr>
      <w:tr w:rsidR="00AB603B" w:rsidTr="00AB603B">
        <w:trPr>
          <w:trHeight w:val="5919"/>
        </w:trPr>
        <w:tc>
          <w:tcPr>
            <w:tcW w:w="9360" w:type="dxa"/>
          </w:tcPr>
          <w:p w:rsidR="00AB603B" w:rsidRDefault="00AB603B" w:rsidP="0054406E">
            <w:r w:rsidRPr="00677DFE">
              <w:rPr>
                <w:noProof/>
                <w:lang w:eastAsia="en-CA"/>
              </w:rPr>
              <w:drawing>
                <wp:inline distT="0" distB="0" distL="0" distR="0" wp14:anchorId="4EF22CB3" wp14:editId="3BA9ACD7">
                  <wp:extent cx="5372100" cy="3902969"/>
                  <wp:effectExtent l="0" t="0" r="0" b="2540"/>
                  <wp:docPr id="1" name="Picture 1" descr="C:\Users\Maryam\Desktop\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m\Desktop\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8962" cy="3915220"/>
                          </a:xfrm>
                          <a:prstGeom prst="rect">
                            <a:avLst/>
                          </a:prstGeom>
                          <a:noFill/>
                          <a:ln>
                            <a:noFill/>
                          </a:ln>
                        </pic:spPr>
                      </pic:pic>
                    </a:graphicData>
                  </a:graphic>
                </wp:inline>
              </w:drawing>
            </w:r>
          </w:p>
        </w:tc>
      </w:tr>
      <w:tr w:rsidR="00AB603B" w:rsidTr="00AB603B">
        <w:trPr>
          <w:trHeight w:val="400"/>
        </w:trPr>
        <w:tc>
          <w:tcPr>
            <w:tcW w:w="9360" w:type="dxa"/>
            <w:vAlign w:val="center"/>
          </w:tcPr>
          <w:p w:rsidR="00AB603B" w:rsidRDefault="00AB603B" w:rsidP="0054406E">
            <w:r>
              <w:rPr>
                <w:rFonts w:ascii="Times New Roman" w:hAnsi="Times New Roman" w:cs="Times New Roman"/>
                <w:b/>
              </w:rPr>
              <w:lastRenderedPageBreak/>
              <w:t xml:space="preserve">Figure 2. </w:t>
            </w:r>
            <w:proofErr w:type="spellStart"/>
            <w:r>
              <w:rPr>
                <w:rFonts w:ascii="Times New Roman" w:hAnsi="Times New Roman" w:cs="Times New Roman"/>
                <w:b/>
              </w:rPr>
              <w:t>Failed</w:t>
            </w:r>
            <w:proofErr w:type="spellEnd"/>
            <w:r>
              <w:rPr>
                <w:rFonts w:ascii="Times New Roman" w:hAnsi="Times New Roman" w:cs="Times New Roman"/>
                <w:b/>
              </w:rPr>
              <w:t xml:space="preserve"> to </w:t>
            </w:r>
            <w:proofErr w:type="spellStart"/>
            <w:r>
              <w:rPr>
                <w:rFonts w:ascii="Times New Roman" w:hAnsi="Times New Roman" w:cs="Times New Roman"/>
                <w:b/>
              </w:rPr>
              <w:t>Pay</w:t>
            </w:r>
            <w:proofErr w:type="spellEnd"/>
            <w:r>
              <w:rPr>
                <w:rFonts w:ascii="Times New Roman" w:hAnsi="Times New Roman" w:cs="Times New Roman"/>
                <w:b/>
              </w:rPr>
              <w:t xml:space="preserve"> Utility Bill and </w:t>
            </w:r>
            <w:proofErr w:type="spellStart"/>
            <w:r>
              <w:rPr>
                <w:rFonts w:ascii="Times New Roman" w:hAnsi="Times New Roman" w:cs="Times New Roman"/>
                <w:b/>
              </w:rPr>
              <w:t>Ability</w:t>
            </w:r>
            <w:proofErr w:type="spellEnd"/>
            <w:r>
              <w:rPr>
                <w:rFonts w:ascii="Times New Roman" w:hAnsi="Times New Roman" w:cs="Times New Roman"/>
                <w:b/>
              </w:rPr>
              <w:t xml:space="preserve"> to Save</w:t>
            </w:r>
          </w:p>
        </w:tc>
      </w:tr>
      <w:tr w:rsidR="00AB603B" w:rsidTr="00AB603B">
        <w:trPr>
          <w:trHeight w:val="6258"/>
        </w:trPr>
        <w:tc>
          <w:tcPr>
            <w:tcW w:w="9360" w:type="dxa"/>
          </w:tcPr>
          <w:p w:rsidR="00AB603B" w:rsidRDefault="00AB603B" w:rsidP="0054406E">
            <w:r w:rsidRPr="00677DFE">
              <w:rPr>
                <w:noProof/>
                <w:lang w:eastAsia="en-CA"/>
              </w:rPr>
              <w:drawing>
                <wp:inline distT="0" distB="0" distL="0" distR="0" wp14:anchorId="77587777" wp14:editId="17EBF563">
                  <wp:extent cx="5181600" cy="3764567"/>
                  <wp:effectExtent l="0" t="0" r="0" b="7620"/>
                  <wp:docPr id="2" name="Picture 2" descr="C:\Users\Maryam\Desktop\u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am\Desktop\ut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669" cy="3771883"/>
                          </a:xfrm>
                          <a:prstGeom prst="rect">
                            <a:avLst/>
                          </a:prstGeom>
                          <a:noFill/>
                          <a:ln>
                            <a:noFill/>
                          </a:ln>
                        </pic:spPr>
                      </pic:pic>
                    </a:graphicData>
                  </a:graphic>
                </wp:inline>
              </w:drawing>
            </w:r>
          </w:p>
        </w:tc>
      </w:tr>
      <w:tr w:rsidR="00AB603B" w:rsidTr="00AB603B">
        <w:trPr>
          <w:trHeight w:val="394"/>
        </w:trPr>
        <w:tc>
          <w:tcPr>
            <w:tcW w:w="9360" w:type="dxa"/>
            <w:vAlign w:val="center"/>
          </w:tcPr>
          <w:p w:rsidR="00AB603B" w:rsidRDefault="00AB603B" w:rsidP="0054406E">
            <w:r>
              <w:rPr>
                <w:rFonts w:ascii="Times New Roman" w:hAnsi="Times New Roman" w:cs="Times New Roman"/>
                <w:b/>
              </w:rPr>
              <w:t xml:space="preserve">Figure 3. </w:t>
            </w:r>
            <w:proofErr w:type="spellStart"/>
            <w:r>
              <w:rPr>
                <w:rFonts w:ascii="Times New Roman" w:hAnsi="Times New Roman" w:cs="Times New Roman"/>
                <w:b/>
              </w:rPr>
              <w:t>Failed</w:t>
            </w:r>
            <w:proofErr w:type="spellEnd"/>
            <w:r>
              <w:rPr>
                <w:rFonts w:ascii="Times New Roman" w:hAnsi="Times New Roman" w:cs="Times New Roman"/>
                <w:b/>
              </w:rPr>
              <w:t xml:space="preserve"> to </w:t>
            </w:r>
            <w:proofErr w:type="spellStart"/>
            <w:r>
              <w:rPr>
                <w:rFonts w:ascii="Times New Roman" w:hAnsi="Times New Roman" w:cs="Times New Roman"/>
                <w:b/>
              </w:rPr>
              <w:t>Pay</w:t>
            </w:r>
            <w:proofErr w:type="spellEnd"/>
            <w:r>
              <w:rPr>
                <w:rFonts w:ascii="Times New Roman" w:hAnsi="Times New Roman" w:cs="Times New Roman"/>
                <w:b/>
              </w:rPr>
              <w:t xml:space="preserve"> </w:t>
            </w:r>
            <w:proofErr w:type="spellStart"/>
            <w:r>
              <w:rPr>
                <w:rFonts w:ascii="Times New Roman" w:hAnsi="Times New Roman" w:cs="Times New Roman"/>
                <w:b/>
              </w:rPr>
              <w:t>Instalment</w:t>
            </w:r>
            <w:proofErr w:type="spellEnd"/>
            <w:r>
              <w:rPr>
                <w:rFonts w:ascii="Times New Roman" w:hAnsi="Times New Roman" w:cs="Times New Roman"/>
                <w:b/>
              </w:rPr>
              <w:t xml:space="preserve"> on a </w:t>
            </w:r>
            <w:proofErr w:type="spellStart"/>
            <w:r>
              <w:rPr>
                <w:rFonts w:ascii="Times New Roman" w:hAnsi="Times New Roman" w:cs="Times New Roman"/>
                <w:b/>
              </w:rPr>
              <w:t>Loan</w:t>
            </w:r>
            <w:proofErr w:type="spellEnd"/>
            <w:r>
              <w:rPr>
                <w:rFonts w:ascii="Times New Roman" w:hAnsi="Times New Roman" w:cs="Times New Roman"/>
                <w:b/>
              </w:rPr>
              <w:t xml:space="preserve"> and </w:t>
            </w:r>
            <w:proofErr w:type="spellStart"/>
            <w:r>
              <w:rPr>
                <w:rFonts w:ascii="Times New Roman" w:hAnsi="Times New Roman" w:cs="Times New Roman"/>
                <w:b/>
              </w:rPr>
              <w:t>Ability</w:t>
            </w:r>
            <w:proofErr w:type="spellEnd"/>
            <w:r>
              <w:rPr>
                <w:rFonts w:ascii="Times New Roman" w:hAnsi="Times New Roman" w:cs="Times New Roman"/>
                <w:b/>
              </w:rPr>
              <w:t xml:space="preserve"> to Save</w:t>
            </w:r>
          </w:p>
        </w:tc>
      </w:tr>
      <w:tr w:rsidR="00AB603B" w:rsidTr="00AB603B">
        <w:tc>
          <w:tcPr>
            <w:tcW w:w="9360" w:type="dxa"/>
          </w:tcPr>
          <w:p w:rsidR="00AB603B" w:rsidRDefault="00AB603B" w:rsidP="0054406E">
            <w:r w:rsidRPr="00677DFE">
              <w:rPr>
                <w:noProof/>
                <w:lang w:eastAsia="en-CA"/>
              </w:rPr>
              <w:drawing>
                <wp:inline distT="0" distB="0" distL="0" distR="0" wp14:anchorId="523192D5" wp14:editId="52DAD43D">
                  <wp:extent cx="5178586" cy="3762375"/>
                  <wp:effectExtent l="0" t="0" r="3175" b="0"/>
                  <wp:docPr id="3" name="Picture 3" descr="C:\Users\Maryam\Desktop\lo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yam\Desktop\lo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6171" cy="3789682"/>
                          </a:xfrm>
                          <a:prstGeom prst="rect">
                            <a:avLst/>
                          </a:prstGeom>
                          <a:noFill/>
                          <a:ln>
                            <a:noFill/>
                          </a:ln>
                        </pic:spPr>
                      </pic:pic>
                    </a:graphicData>
                  </a:graphic>
                </wp:inline>
              </w:drawing>
            </w:r>
          </w:p>
        </w:tc>
      </w:tr>
      <w:tr w:rsidR="00AB603B" w:rsidTr="00AB603B">
        <w:trPr>
          <w:trHeight w:val="416"/>
        </w:trPr>
        <w:tc>
          <w:tcPr>
            <w:tcW w:w="9360" w:type="dxa"/>
            <w:vAlign w:val="center"/>
          </w:tcPr>
          <w:p w:rsidR="00AB603B" w:rsidRDefault="00AB603B" w:rsidP="0054406E">
            <w:pPr>
              <w:rPr>
                <w:rFonts w:ascii="Times New Roman" w:hAnsi="Times New Roman" w:cs="Times New Roman"/>
                <w:b/>
              </w:rPr>
            </w:pPr>
            <w:r>
              <w:rPr>
                <w:rFonts w:ascii="Times New Roman" w:hAnsi="Times New Roman" w:cs="Times New Roman"/>
                <w:b/>
              </w:rPr>
              <w:lastRenderedPageBreak/>
              <w:t xml:space="preserve">Figure 4. </w:t>
            </w:r>
            <w:proofErr w:type="spellStart"/>
            <w:r>
              <w:rPr>
                <w:rFonts w:ascii="Times New Roman" w:hAnsi="Times New Roman" w:cs="Times New Roman"/>
                <w:b/>
              </w:rPr>
              <w:t>Failed</w:t>
            </w:r>
            <w:proofErr w:type="spellEnd"/>
            <w:r>
              <w:rPr>
                <w:rFonts w:ascii="Times New Roman" w:hAnsi="Times New Roman" w:cs="Times New Roman"/>
                <w:b/>
              </w:rPr>
              <w:t xml:space="preserve"> to </w:t>
            </w:r>
            <w:proofErr w:type="spellStart"/>
            <w:r>
              <w:rPr>
                <w:rFonts w:ascii="Times New Roman" w:hAnsi="Times New Roman" w:cs="Times New Roman"/>
                <w:b/>
              </w:rPr>
              <w:t>Pay</w:t>
            </w:r>
            <w:proofErr w:type="spellEnd"/>
            <w:r>
              <w:rPr>
                <w:rFonts w:ascii="Times New Roman" w:hAnsi="Times New Roman" w:cs="Times New Roman"/>
                <w:b/>
              </w:rPr>
              <w:t xml:space="preserve"> at Least One Bill and </w:t>
            </w:r>
            <w:proofErr w:type="spellStart"/>
            <w:r>
              <w:rPr>
                <w:rFonts w:ascii="Times New Roman" w:hAnsi="Times New Roman" w:cs="Times New Roman"/>
                <w:b/>
              </w:rPr>
              <w:t>Ability</w:t>
            </w:r>
            <w:proofErr w:type="spellEnd"/>
            <w:r>
              <w:rPr>
                <w:rFonts w:ascii="Times New Roman" w:hAnsi="Times New Roman" w:cs="Times New Roman"/>
                <w:b/>
              </w:rPr>
              <w:t xml:space="preserve"> to Save</w:t>
            </w:r>
          </w:p>
        </w:tc>
      </w:tr>
      <w:tr w:rsidR="00AB603B" w:rsidTr="00AB603B">
        <w:trPr>
          <w:trHeight w:val="6756"/>
        </w:trPr>
        <w:tc>
          <w:tcPr>
            <w:tcW w:w="9360" w:type="dxa"/>
          </w:tcPr>
          <w:p w:rsidR="00AB603B" w:rsidRDefault="00AB603B" w:rsidP="0054406E">
            <w:pPr>
              <w:rPr>
                <w:rFonts w:ascii="Times New Roman" w:hAnsi="Times New Roman" w:cs="Times New Roman"/>
                <w:b/>
              </w:rPr>
            </w:pPr>
            <w:r w:rsidRPr="00677DFE">
              <w:rPr>
                <w:rFonts w:ascii="Times New Roman" w:hAnsi="Times New Roman" w:cs="Times New Roman"/>
                <w:b/>
                <w:noProof/>
                <w:lang w:eastAsia="en-CA"/>
              </w:rPr>
              <w:drawing>
                <wp:inline distT="0" distB="0" distL="0" distR="0" wp14:anchorId="300D005A" wp14:editId="7DD34E83">
                  <wp:extent cx="5391150" cy="3916811"/>
                  <wp:effectExtent l="0" t="0" r="0" b="7620"/>
                  <wp:docPr id="7" name="Picture 7" descr="C:\Users\Maryam\Desktop\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yam\Desktop\on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813" cy="3923105"/>
                          </a:xfrm>
                          <a:prstGeom prst="rect">
                            <a:avLst/>
                          </a:prstGeom>
                          <a:noFill/>
                          <a:ln>
                            <a:noFill/>
                          </a:ln>
                        </pic:spPr>
                      </pic:pic>
                    </a:graphicData>
                  </a:graphic>
                </wp:inline>
              </w:drawing>
            </w:r>
          </w:p>
        </w:tc>
      </w:tr>
    </w:tbl>
    <w:p w:rsidR="00AB603B" w:rsidRDefault="00AB603B" w:rsidP="00AB603B"/>
    <w:p w:rsidR="00B9029E" w:rsidRPr="002F4250" w:rsidRDefault="00B9029E" w:rsidP="00443863">
      <w:pPr>
        <w:spacing w:after="0" w:line="480" w:lineRule="auto"/>
        <w:ind w:firstLine="709"/>
        <w:jc w:val="both"/>
        <w:rPr>
          <w:rFonts w:ascii="Times New Roman" w:hAnsi="Times New Roman" w:cs="Times New Roman"/>
        </w:rPr>
      </w:pPr>
      <w:bookmarkStart w:id="0" w:name="_GoBack"/>
      <w:bookmarkEnd w:id="0"/>
      <w:r w:rsidRPr="002F4250">
        <w:rPr>
          <w:rFonts w:ascii="Times New Roman" w:hAnsi="Times New Roman" w:cs="Times New Roman"/>
        </w:rPr>
        <w:t>Nova Scotia</w:t>
      </w:r>
      <w:r w:rsidR="00923AD7" w:rsidRPr="002F4250">
        <w:rPr>
          <w:rFonts w:ascii="Times New Roman" w:hAnsi="Times New Roman" w:cs="Times New Roman"/>
        </w:rPr>
        <w:t xml:space="preserve">, </w:t>
      </w:r>
      <w:r w:rsidR="00827E47" w:rsidRPr="002F4250">
        <w:rPr>
          <w:rFonts w:ascii="Times New Roman" w:hAnsi="Times New Roman" w:cs="Times New Roman"/>
        </w:rPr>
        <w:t xml:space="preserve">New Brunswick, </w:t>
      </w:r>
      <w:r w:rsidRPr="002F4250">
        <w:rPr>
          <w:rFonts w:ascii="Times New Roman" w:hAnsi="Times New Roman" w:cs="Times New Roman"/>
        </w:rPr>
        <w:t>and British Columbia seem to stand out in their share of vulnerable individuals</w:t>
      </w:r>
      <w:r w:rsidR="00443863" w:rsidRPr="002F4250">
        <w:rPr>
          <w:rFonts w:ascii="Times New Roman" w:hAnsi="Times New Roman" w:cs="Times New Roman"/>
        </w:rPr>
        <w:t xml:space="preserve">. The </w:t>
      </w:r>
      <w:r w:rsidRPr="002F4250">
        <w:rPr>
          <w:rFonts w:ascii="Times New Roman" w:hAnsi="Times New Roman" w:cs="Times New Roman"/>
        </w:rPr>
        <w:t xml:space="preserve">aim of this paper is to see whether the cross-provincial differences subside after the inclusion of the controls. The estimations are made using </w:t>
      </w:r>
      <w:proofErr w:type="spellStart"/>
      <w:r w:rsidRPr="002F4250">
        <w:rPr>
          <w:rFonts w:ascii="Times New Roman" w:hAnsi="Times New Roman" w:cs="Times New Roman"/>
        </w:rPr>
        <w:t>Probit</w:t>
      </w:r>
      <w:proofErr w:type="spellEnd"/>
      <w:r w:rsidRPr="002F4250">
        <w:rPr>
          <w:rFonts w:ascii="Times New Roman" w:hAnsi="Times New Roman" w:cs="Times New Roman"/>
        </w:rPr>
        <w:t xml:space="preserve"> methodology. Heteroscedasticity robust standards errors and sam</w:t>
      </w:r>
      <w:r w:rsidR="00827E47" w:rsidRPr="002F4250">
        <w:rPr>
          <w:rFonts w:ascii="Times New Roman" w:hAnsi="Times New Roman" w:cs="Times New Roman"/>
        </w:rPr>
        <w:t xml:space="preserve">ple weights are employed. The </w:t>
      </w:r>
      <w:r w:rsidRPr="002F4250">
        <w:rPr>
          <w:rFonts w:ascii="Times New Roman" w:hAnsi="Times New Roman" w:cs="Times New Roman"/>
        </w:rPr>
        <w:t xml:space="preserve">generic formulation of the equation estimated in this paper is as follows: </w:t>
      </w:r>
    </w:p>
    <w:p w:rsidR="00B9029E" w:rsidRPr="002F4250" w:rsidRDefault="003415CD" w:rsidP="00B9029E">
      <w:pPr>
        <w:autoSpaceDE w:val="0"/>
        <w:autoSpaceDN w:val="0"/>
        <w:adjustRightInd w:val="0"/>
        <w:spacing w:after="0" w:line="480" w:lineRule="auto"/>
        <w:jc w:val="both"/>
        <w:rPr>
          <w:rFonts w:ascii="Times New Roman" w:hAnsi="Times New Roman" w:cs="Times New Roman"/>
          <w:b/>
        </w:rPr>
      </w:pPr>
      <m:oMath>
        <m:func>
          <m:funcPr>
            <m:ctrlPr>
              <w:rPr>
                <w:rFonts w:ascii="Cambria Math" w:hAnsi="Cambria Math" w:cs="Times New Roman"/>
                <w:b/>
                <w:i/>
                <w:iCs/>
              </w:rPr>
            </m:ctrlPr>
          </m:funcPr>
          <m:fName>
            <m:r>
              <m:rPr>
                <m:sty m:val="b"/>
              </m:rPr>
              <w:rPr>
                <w:rFonts w:ascii="Cambria Math" w:hAnsi="Cambria Math" w:cs="Times New Roman"/>
              </w:rPr>
              <m:t>Pr</m:t>
            </m:r>
          </m:fName>
          <m:e>
            <m:r>
              <m:rPr>
                <m:sty m:val="bi"/>
              </m:rPr>
              <w:rPr>
                <w:rFonts w:ascii="Cambria Math" w:hAnsi="Cambria Math" w:cs="Times New Roman"/>
              </w:rPr>
              <m:t>(y=1|X)</m:t>
            </m:r>
          </m:e>
        </m:func>
        <m:r>
          <m:rPr>
            <m:sty m:val="bi"/>
          </m:rPr>
          <w:rPr>
            <w:rFonts w:ascii="Cambria Math" w:hAnsi="Cambria Math" w:cs="Times New Roman"/>
          </w:rPr>
          <m:t>= Φ</m:t>
        </m:r>
        <m:d>
          <m:dPr>
            <m:ctrlPr>
              <w:rPr>
                <w:rFonts w:ascii="Cambria Math" w:hAnsi="Cambria Math" w:cs="Times New Roman"/>
                <w:b/>
                <w:i/>
              </w:rPr>
            </m:ctrlPr>
          </m:dPr>
          <m:e>
            <m:sSub>
              <m:sSubPr>
                <m:ctrlPr>
                  <w:rPr>
                    <w:rFonts w:ascii="Cambria Math" w:hAnsi="Cambria Math" w:cs="Times New Roman"/>
                    <w:b/>
                    <w:i/>
                    <w:iCs/>
                  </w:rPr>
                </m:ctrlPr>
              </m:sSubPr>
              <m:e>
                <m:r>
                  <m:rPr>
                    <m:sty m:val="bi"/>
                  </m:rPr>
                  <w:rPr>
                    <w:rFonts w:ascii="Cambria Math" w:hAnsi="Cambria Math" w:cs="Times New Roman"/>
                  </w:rPr>
                  <m:t>β</m:t>
                </m:r>
              </m:e>
              <m:sub>
                <m:r>
                  <m:rPr>
                    <m:sty m:val="bi"/>
                  </m:rPr>
                  <w:rPr>
                    <w:rFonts w:ascii="Cambria Math" w:hAnsi="Cambria Math" w:cs="Times New Roman"/>
                  </w:rPr>
                  <m:t>0</m:t>
                </m:r>
              </m:sub>
            </m:sSub>
            <m:r>
              <m:rPr>
                <m:sty m:val="bi"/>
              </m:rPr>
              <w:rPr>
                <w:rFonts w:ascii="Cambria Math" w:hAnsi="Cambria Math" w:cs="Times New Roman"/>
              </w:rPr>
              <m:t>+ Xβ+ε</m:t>
            </m:r>
          </m:e>
        </m:d>
        <m:r>
          <m:rPr>
            <m:sty m:val="bi"/>
          </m:rPr>
          <w:rPr>
            <w:rFonts w:ascii="Cambria Math" w:hAnsi="Cambria Math" w:cs="Times New Roman"/>
          </w:rPr>
          <m:t xml:space="preserve">                                                                                                                </m:t>
        </m:r>
      </m:oMath>
      <w:r w:rsidR="00B9029E" w:rsidRPr="002F4250">
        <w:rPr>
          <w:rFonts w:ascii="Times New Roman" w:hAnsi="Times New Roman" w:cs="Times New Roman"/>
          <w:b/>
        </w:rPr>
        <w:t xml:space="preserve">             </w:t>
      </w:r>
    </w:p>
    <w:p w:rsidR="00B9029E" w:rsidRPr="002F4250" w:rsidRDefault="00B9029E" w:rsidP="009A132B">
      <w:pPr>
        <w:spacing w:after="0" w:line="480" w:lineRule="auto"/>
        <w:ind w:firstLine="709"/>
        <w:jc w:val="both"/>
        <w:rPr>
          <w:rFonts w:ascii="Times New Roman" w:hAnsi="Times New Roman" w:cs="Times New Roman"/>
        </w:rPr>
      </w:pPr>
      <w:r w:rsidRPr="002F4250">
        <w:rPr>
          <w:rFonts w:ascii="Times New Roman" w:hAnsi="Times New Roman" w:cs="Times New Roman"/>
          <w:bCs/>
        </w:rPr>
        <w:t>where the left hand side of the equation is the likelihood o</w:t>
      </w:r>
      <w:r w:rsidR="00443863" w:rsidRPr="002F4250">
        <w:rPr>
          <w:rFonts w:ascii="Times New Roman" w:hAnsi="Times New Roman" w:cs="Times New Roman"/>
          <w:bCs/>
        </w:rPr>
        <w:t xml:space="preserve">f </w:t>
      </w:r>
      <w:r w:rsidR="007F309A" w:rsidRPr="002F4250">
        <w:rPr>
          <w:rFonts w:ascii="Times New Roman" w:hAnsi="Times New Roman" w:cs="Times New Roman"/>
          <w:bCs/>
        </w:rPr>
        <w:t>financial vulnerability</w:t>
      </w:r>
      <w:r w:rsidR="009A132B" w:rsidRPr="002F4250">
        <w:rPr>
          <w:rFonts w:ascii="Times New Roman" w:hAnsi="Times New Roman" w:cs="Times New Roman"/>
        </w:rPr>
        <w:t xml:space="preserve">. </w:t>
      </w:r>
      <w:r w:rsidRPr="002F4250">
        <w:rPr>
          <w:rFonts w:ascii="Times New Roman" w:hAnsi="Times New Roman" w:cs="Times New Roman"/>
        </w:rPr>
        <w:t xml:space="preserve">The </w:t>
      </w:r>
      <w:r w:rsidR="009A132B" w:rsidRPr="002F4250">
        <w:rPr>
          <w:rFonts w:ascii="Times New Roman" w:hAnsi="Times New Roman" w:cs="Times New Roman"/>
        </w:rPr>
        <w:t xml:space="preserve">Vector </w:t>
      </w:r>
      <w:r w:rsidRPr="002F4250">
        <w:rPr>
          <w:rFonts w:ascii="Times New Roman" w:hAnsi="Times New Roman" w:cs="Times New Roman"/>
          <w:bCs/>
          <w:i/>
          <w:iCs/>
        </w:rPr>
        <w:t xml:space="preserve">X </w:t>
      </w:r>
      <w:r w:rsidRPr="002F4250">
        <w:rPr>
          <w:rFonts w:ascii="Times New Roman" w:hAnsi="Times New Roman" w:cs="Times New Roman"/>
        </w:rPr>
        <w:t>incorporates socio-demographic controls</w:t>
      </w:r>
      <w:r w:rsidR="007F309A" w:rsidRPr="002F4250">
        <w:rPr>
          <w:rFonts w:ascii="Times New Roman" w:hAnsi="Times New Roman" w:cs="Times New Roman"/>
        </w:rPr>
        <w:t>,</w:t>
      </w:r>
      <w:r w:rsidRPr="002F4250">
        <w:rPr>
          <w:rFonts w:ascii="Times New Roman" w:hAnsi="Times New Roman" w:cs="Times New Roman"/>
        </w:rPr>
        <w:t xml:space="preserve"> likely to determine the </w:t>
      </w:r>
      <w:r w:rsidR="00443863" w:rsidRPr="002F4250">
        <w:rPr>
          <w:rFonts w:ascii="Times New Roman" w:hAnsi="Times New Roman" w:cs="Times New Roman"/>
        </w:rPr>
        <w:t>outcome</w:t>
      </w:r>
      <w:r w:rsidRPr="002F4250">
        <w:rPr>
          <w:rFonts w:ascii="Times New Roman" w:hAnsi="Times New Roman" w:cs="Times New Roman"/>
        </w:rPr>
        <w:t xml:space="preserve">. </w:t>
      </w:r>
    </w:p>
    <w:p w:rsidR="00827E47" w:rsidRPr="002F4250" w:rsidRDefault="00827E47" w:rsidP="009A132B">
      <w:pPr>
        <w:spacing w:after="0" w:line="480" w:lineRule="auto"/>
        <w:ind w:firstLine="709"/>
        <w:jc w:val="both"/>
        <w:rPr>
          <w:rFonts w:ascii="Times New Roman" w:hAnsi="Times New Roman" w:cs="Times New Roman"/>
        </w:rPr>
      </w:pPr>
    </w:p>
    <w:p w:rsidR="00827E47" w:rsidRPr="002F4250" w:rsidRDefault="00827E47" w:rsidP="009A132B">
      <w:pPr>
        <w:spacing w:after="0" w:line="480" w:lineRule="auto"/>
        <w:ind w:firstLine="709"/>
        <w:jc w:val="both"/>
        <w:rPr>
          <w:rFonts w:ascii="Times New Roman" w:hAnsi="Times New Roman" w:cs="Times New Roman"/>
        </w:rPr>
      </w:pPr>
    </w:p>
    <w:p w:rsidR="006C65D9" w:rsidRPr="002F4250" w:rsidRDefault="006C65D9" w:rsidP="009A132B">
      <w:pPr>
        <w:spacing w:after="0" w:line="480" w:lineRule="auto"/>
        <w:ind w:firstLine="709"/>
        <w:jc w:val="both"/>
        <w:rPr>
          <w:rFonts w:ascii="Times New Roman" w:hAnsi="Times New Roman" w:cs="Times New Roman"/>
        </w:rPr>
      </w:pPr>
    </w:p>
    <w:p w:rsidR="009A132B" w:rsidRPr="002F4250" w:rsidRDefault="009A132B" w:rsidP="009A132B">
      <w:pPr>
        <w:spacing w:after="0" w:line="480" w:lineRule="auto"/>
        <w:jc w:val="both"/>
        <w:rPr>
          <w:rFonts w:ascii="Times New Roman" w:hAnsi="Times New Roman" w:cs="Times New Roman"/>
          <w:b/>
          <w:sz w:val="28"/>
          <w:szCs w:val="28"/>
        </w:rPr>
      </w:pPr>
      <w:r w:rsidRPr="002F4250">
        <w:rPr>
          <w:rFonts w:ascii="Times New Roman" w:hAnsi="Times New Roman" w:cs="Times New Roman"/>
          <w:b/>
          <w:sz w:val="28"/>
          <w:szCs w:val="28"/>
        </w:rPr>
        <w:lastRenderedPageBreak/>
        <w:t>III. Discussion of the Results</w:t>
      </w:r>
    </w:p>
    <w:p w:rsidR="00B9029E" w:rsidRPr="002F4250" w:rsidRDefault="00923AD7" w:rsidP="00B9029E">
      <w:pPr>
        <w:spacing w:after="0" w:line="480" w:lineRule="auto"/>
        <w:ind w:firstLine="720"/>
        <w:jc w:val="both"/>
        <w:rPr>
          <w:rFonts w:ascii="Times New Roman" w:hAnsi="Times New Roman" w:cs="Times New Roman"/>
        </w:rPr>
      </w:pPr>
      <w:r w:rsidRPr="002F4250">
        <w:rPr>
          <w:rFonts w:ascii="Times New Roman" w:hAnsi="Times New Roman" w:cs="Times New Roman"/>
        </w:rPr>
        <w:t xml:space="preserve">Table 3 reports a set of five </w:t>
      </w:r>
      <w:r w:rsidR="00B9029E" w:rsidRPr="002F4250">
        <w:rPr>
          <w:rFonts w:ascii="Times New Roman" w:hAnsi="Times New Roman" w:cs="Times New Roman"/>
        </w:rPr>
        <w:t>stepwise regressions</w:t>
      </w:r>
      <w:r w:rsidR="00827E47" w:rsidRPr="002F4250">
        <w:rPr>
          <w:rFonts w:ascii="Times New Roman" w:hAnsi="Times New Roman" w:cs="Times New Roman"/>
        </w:rPr>
        <w:t>,</w:t>
      </w:r>
      <w:r w:rsidR="00B9029E" w:rsidRPr="002F4250">
        <w:rPr>
          <w:rFonts w:ascii="Times New Roman" w:hAnsi="Times New Roman" w:cs="Times New Roman"/>
        </w:rPr>
        <w:t xml:space="preserve"> in which explanatory variables are gradually added to the equation. Not all the</w:t>
      </w:r>
      <w:r w:rsidR="00443863" w:rsidRPr="002F4250">
        <w:rPr>
          <w:rFonts w:ascii="Times New Roman" w:hAnsi="Times New Roman" w:cs="Times New Roman"/>
        </w:rPr>
        <w:t xml:space="preserve"> controls are exposed in the table</w:t>
      </w:r>
      <w:r w:rsidR="00B9029E" w:rsidRPr="002F4250">
        <w:rPr>
          <w:rFonts w:ascii="Times New Roman" w:hAnsi="Times New Roman" w:cs="Times New Roman"/>
        </w:rPr>
        <w:t xml:space="preserve">. The set of suppressed explanatory variables are </w:t>
      </w:r>
      <w:r w:rsidR="00EB354A" w:rsidRPr="002F4250">
        <w:rPr>
          <w:rFonts w:ascii="Times New Roman" w:hAnsi="Times New Roman" w:cs="Times New Roman"/>
        </w:rPr>
        <w:t xml:space="preserve">exhaustively </w:t>
      </w:r>
      <w:r w:rsidR="00B9029E" w:rsidRPr="002F4250">
        <w:rPr>
          <w:rFonts w:ascii="Times New Roman" w:hAnsi="Times New Roman" w:cs="Times New Roman"/>
        </w:rPr>
        <w:t xml:space="preserve">listed as note to the table. </w:t>
      </w:r>
      <w:r w:rsidR="00324241" w:rsidRPr="002F4250">
        <w:rPr>
          <w:rFonts w:ascii="Times New Roman" w:hAnsi="Times New Roman" w:cs="Times New Roman"/>
        </w:rPr>
        <w:t xml:space="preserve">The associated marginal effects of the </w:t>
      </w:r>
      <w:proofErr w:type="spellStart"/>
      <w:r w:rsidR="00324241" w:rsidRPr="002F4250">
        <w:rPr>
          <w:rFonts w:ascii="Times New Roman" w:hAnsi="Times New Roman" w:cs="Times New Roman"/>
        </w:rPr>
        <w:t>Probit</w:t>
      </w:r>
      <w:proofErr w:type="spellEnd"/>
      <w:r w:rsidR="00324241" w:rsidRPr="002F4250">
        <w:rPr>
          <w:rFonts w:ascii="Times New Roman" w:hAnsi="Times New Roman" w:cs="Times New Roman"/>
        </w:rPr>
        <w:t xml:space="preserve"> estimation</w:t>
      </w:r>
      <w:r w:rsidR="00623BAA" w:rsidRPr="002F4250">
        <w:rPr>
          <w:rFonts w:ascii="Times New Roman" w:hAnsi="Times New Roman" w:cs="Times New Roman"/>
        </w:rPr>
        <w:t>s</w:t>
      </w:r>
      <w:r w:rsidR="00324241" w:rsidRPr="002F4250">
        <w:rPr>
          <w:rFonts w:ascii="Times New Roman" w:hAnsi="Times New Roman" w:cs="Times New Roman"/>
        </w:rPr>
        <w:t xml:space="preserve"> </w:t>
      </w:r>
      <w:r w:rsidR="00827E47" w:rsidRPr="002F4250">
        <w:rPr>
          <w:rFonts w:ascii="Times New Roman" w:hAnsi="Times New Roman" w:cs="Times New Roman"/>
        </w:rPr>
        <w:t xml:space="preserve">are </w:t>
      </w:r>
      <w:r w:rsidR="00324241" w:rsidRPr="002F4250">
        <w:rPr>
          <w:rFonts w:ascii="Times New Roman" w:hAnsi="Times New Roman" w:cs="Times New Roman"/>
        </w:rPr>
        <w:t xml:space="preserve">reported in the table. </w:t>
      </w:r>
      <w:r w:rsidR="00B9029E" w:rsidRPr="002F4250">
        <w:rPr>
          <w:rFonts w:ascii="Times New Roman" w:hAnsi="Times New Roman" w:cs="Times New Roman"/>
        </w:rPr>
        <w:t>The first equation</w:t>
      </w:r>
      <w:r w:rsidR="00BE1204" w:rsidRPr="002F4250">
        <w:rPr>
          <w:rFonts w:ascii="Times New Roman" w:hAnsi="Times New Roman" w:cs="Times New Roman"/>
        </w:rPr>
        <w:t>, reported in Column (1),</w:t>
      </w:r>
      <w:r w:rsidR="00B9029E" w:rsidRPr="002F4250">
        <w:rPr>
          <w:rFonts w:ascii="Times New Roman" w:hAnsi="Times New Roman" w:cs="Times New Roman"/>
        </w:rPr>
        <w:t xml:space="preserve"> only incudes provincial dummies, leaving Ont</w:t>
      </w:r>
      <w:r w:rsidR="00827E47" w:rsidRPr="002F4250">
        <w:rPr>
          <w:rFonts w:ascii="Times New Roman" w:hAnsi="Times New Roman" w:cs="Times New Roman"/>
        </w:rPr>
        <w:t>ario as the omitted category. This regression</w:t>
      </w:r>
      <w:r w:rsidR="00B9029E" w:rsidRPr="002F4250">
        <w:rPr>
          <w:rFonts w:ascii="Times New Roman" w:hAnsi="Times New Roman" w:cs="Times New Roman"/>
        </w:rPr>
        <w:t xml:space="preserve"> reveals </w:t>
      </w:r>
      <w:r w:rsidR="00827E47" w:rsidRPr="002F4250">
        <w:rPr>
          <w:rFonts w:ascii="Times New Roman" w:hAnsi="Times New Roman" w:cs="Times New Roman"/>
        </w:rPr>
        <w:t xml:space="preserve">that, when </w:t>
      </w:r>
      <w:r w:rsidR="00623BAA" w:rsidRPr="002F4250">
        <w:rPr>
          <w:rFonts w:ascii="Times New Roman" w:hAnsi="Times New Roman" w:cs="Times New Roman"/>
        </w:rPr>
        <w:t>no characteristic</w:t>
      </w:r>
      <w:r w:rsidR="00827E47" w:rsidRPr="002F4250">
        <w:rPr>
          <w:rFonts w:ascii="Times New Roman" w:hAnsi="Times New Roman" w:cs="Times New Roman"/>
        </w:rPr>
        <w:t xml:space="preserve"> is controlled for, </w:t>
      </w:r>
      <w:r w:rsidR="00B9029E" w:rsidRPr="002F4250">
        <w:rPr>
          <w:rFonts w:ascii="Times New Roman" w:hAnsi="Times New Roman" w:cs="Times New Roman"/>
        </w:rPr>
        <w:t>the individua</w:t>
      </w:r>
      <w:r w:rsidR="00496912" w:rsidRPr="002F4250">
        <w:rPr>
          <w:rFonts w:ascii="Times New Roman" w:hAnsi="Times New Roman" w:cs="Times New Roman"/>
        </w:rPr>
        <w:t xml:space="preserve">ls </w:t>
      </w:r>
      <w:r w:rsidR="00623BAA" w:rsidRPr="002F4250">
        <w:rPr>
          <w:rFonts w:ascii="Times New Roman" w:hAnsi="Times New Roman" w:cs="Times New Roman"/>
        </w:rPr>
        <w:t xml:space="preserve">between 25 to 45 years of age who reside </w:t>
      </w:r>
      <w:r w:rsidR="00496912" w:rsidRPr="002F4250">
        <w:rPr>
          <w:rFonts w:ascii="Times New Roman" w:hAnsi="Times New Roman" w:cs="Times New Roman"/>
        </w:rPr>
        <w:t xml:space="preserve">in Nova Scotia </w:t>
      </w:r>
      <w:r w:rsidR="000C73F3" w:rsidRPr="002F4250">
        <w:rPr>
          <w:rFonts w:ascii="Times New Roman" w:hAnsi="Times New Roman" w:cs="Times New Roman"/>
        </w:rPr>
        <w:t>are statistical</w:t>
      </w:r>
      <w:r w:rsidR="002D0272" w:rsidRPr="002F4250">
        <w:rPr>
          <w:rFonts w:ascii="Times New Roman" w:hAnsi="Times New Roman" w:cs="Times New Roman"/>
        </w:rPr>
        <w:t>ly</w:t>
      </w:r>
      <w:r w:rsidR="00B9029E" w:rsidRPr="002F4250">
        <w:rPr>
          <w:rFonts w:ascii="Times New Roman" w:hAnsi="Times New Roman" w:cs="Times New Roman"/>
        </w:rPr>
        <w:t xml:space="preserve"> significantly more likely than other</w:t>
      </w:r>
      <w:r w:rsidR="00623BAA" w:rsidRPr="002F4250">
        <w:rPr>
          <w:rFonts w:ascii="Times New Roman" w:hAnsi="Times New Roman" w:cs="Times New Roman"/>
        </w:rPr>
        <w:t>s</w:t>
      </w:r>
      <w:r w:rsidR="00B9029E" w:rsidRPr="002F4250">
        <w:rPr>
          <w:rFonts w:ascii="Times New Roman" w:hAnsi="Times New Roman" w:cs="Times New Roman"/>
        </w:rPr>
        <w:t xml:space="preserve"> </w:t>
      </w:r>
      <w:r w:rsidR="00623BAA" w:rsidRPr="002F4250">
        <w:rPr>
          <w:rFonts w:ascii="Times New Roman" w:hAnsi="Times New Roman" w:cs="Times New Roman"/>
        </w:rPr>
        <w:t xml:space="preserve">to </w:t>
      </w:r>
      <w:r w:rsidR="00443863" w:rsidRPr="002F4250">
        <w:rPr>
          <w:rFonts w:ascii="Times New Roman" w:hAnsi="Times New Roman" w:cs="Times New Roman"/>
        </w:rPr>
        <w:t>be financially vulnerable</w:t>
      </w:r>
      <w:r w:rsidR="00B9029E" w:rsidRPr="002F4250">
        <w:rPr>
          <w:rFonts w:ascii="Times New Roman" w:hAnsi="Times New Roman" w:cs="Times New Roman"/>
        </w:rPr>
        <w:t xml:space="preserve">. </w:t>
      </w:r>
      <w:r w:rsidR="00496912" w:rsidRPr="002F4250">
        <w:rPr>
          <w:rFonts w:ascii="Times New Roman" w:hAnsi="Times New Roman" w:cs="Times New Roman"/>
        </w:rPr>
        <w:t xml:space="preserve">Conversely, </w:t>
      </w:r>
      <w:r w:rsidR="008303C1" w:rsidRPr="002F4250">
        <w:rPr>
          <w:rFonts w:ascii="Times New Roman" w:hAnsi="Times New Roman" w:cs="Times New Roman"/>
        </w:rPr>
        <w:t>Newfoundland and Labrador</w:t>
      </w:r>
      <w:r w:rsidR="00496912" w:rsidRPr="002F4250">
        <w:rPr>
          <w:rFonts w:ascii="Times New Roman" w:hAnsi="Times New Roman" w:cs="Times New Roman"/>
        </w:rPr>
        <w:t xml:space="preserve"> is the only province with a statistically significant negative coefficient. </w:t>
      </w:r>
      <w:r w:rsidR="00B9029E" w:rsidRPr="002F4250">
        <w:rPr>
          <w:rFonts w:ascii="Times New Roman" w:hAnsi="Times New Roman" w:cs="Times New Roman"/>
        </w:rPr>
        <w:t>The addition of controls</w:t>
      </w:r>
      <w:r w:rsidR="000C73F3" w:rsidRPr="002F4250">
        <w:rPr>
          <w:rFonts w:ascii="Times New Roman" w:hAnsi="Times New Roman" w:cs="Times New Roman"/>
        </w:rPr>
        <w:t>, done in Column (2) onwards,</w:t>
      </w:r>
      <w:r w:rsidR="00B9029E" w:rsidRPr="002F4250">
        <w:rPr>
          <w:rFonts w:ascii="Times New Roman" w:hAnsi="Times New Roman" w:cs="Times New Roman"/>
        </w:rPr>
        <w:t xml:space="preserve"> </w:t>
      </w:r>
      <w:r w:rsidR="00496912" w:rsidRPr="002F4250">
        <w:rPr>
          <w:rFonts w:ascii="Times New Roman" w:hAnsi="Times New Roman" w:cs="Times New Roman"/>
        </w:rPr>
        <w:t xml:space="preserve">impacts both the </w:t>
      </w:r>
      <w:r w:rsidR="002D0272" w:rsidRPr="002F4250">
        <w:rPr>
          <w:rFonts w:ascii="Times New Roman" w:hAnsi="Times New Roman" w:cs="Times New Roman"/>
        </w:rPr>
        <w:t xml:space="preserve">magnitude and the statistical </w:t>
      </w:r>
      <w:r w:rsidR="00496912" w:rsidRPr="002F4250">
        <w:rPr>
          <w:rFonts w:ascii="Times New Roman" w:hAnsi="Times New Roman" w:cs="Times New Roman"/>
        </w:rPr>
        <w:t>significance of the provincial dummies.</w:t>
      </w:r>
      <w:r w:rsidR="00EA1CD0" w:rsidRPr="002F4250">
        <w:rPr>
          <w:rFonts w:ascii="Times New Roman" w:hAnsi="Times New Roman" w:cs="Times New Roman"/>
        </w:rPr>
        <w:t xml:space="preserve"> The natural logarithm of personal income</w:t>
      </w:r>
      <w:r w:rsidR="00AA1172" w:rsidRPr="002F4250">
        <w:rPr>
          <w:rFonts w:ascii="Times New Roman" w:hAnsi="Times New Roman" w:cs="Times New Roman"/>
        </w:rPr>
        <w:t>, for which a large number of observations was missing,</w:t>
      </w:r>
      <w:r w:rsidR="00EA1CD0" w:rsidRPr="002F4250">
        <w:rPr>
          <w:rFonts w:ascii="Times New Roman" w:hAnsi="Times New Roman" w:cs="Times New Roman"/>
        </w:rPr>
        <w:t xml:space="preserve"> i</w:t>
      </w:r>
      <w:r w:rsidR="00AA1172" w:rsidRPr="002F4250">
        <w:rPr>
          <w:rFonts w:ascii="Times New Roman" w:hAnsi="Times New Roman" w:cs="Times New Roman"/>
        </w:rPr>
        <w:t>s only added in the last column</w:t>
      </w:r>
      <w:r w:rsidR="00EA1CD0" w:rsidRPr="002F4250">
        <w:rPr>
          <w:rFonts w:ascii="Times New Roman" w:hAnsi="Times New Roman" w:cs="Times New Roman"/>
        </w:rPr>
        <w:t>.</w:t>
      </w:r>
    </w:p>
    <w:p w:rsidR="00707ED5" w:rsidRDefault="00707ED5" w:rsidP="00B9029E">
      <w:pPr>
        <w:spacing w:after="0" w:line="480" w:lineRule="auto"/>
        <w:ind w:firstLine="720"/>
        <w:jc w:val="both"/>
        <w:rPr>
          <w:rFonts w:ascii="Times New Roman" w:hAnsi="Times New Roman" w:cs="Times New Roman"/>
          <w:b/>
        </w:rPr>
      </w:pPr>
    </w:p>
    <w:p w:rsidR="00707ED5" w:rsidRDefault="00707ED5">
      <w:pPr>
        <w:rPr>
          <w:rFonts w:ascii="Times New Roman" w:hAnsi="Times New Roman" w:cs="Times New Roman"/>
          <w:b/>
        </w:rPr>
      </w:pPr>
      <w:r>
        <w:rPr>
          <w:rFonts w:ascii="Times New Roman" w:hAnsi="Times New Roman" w:cs="Times New Roman"/>
          <w:b/>
        </w:rPr>
        <w:br w:type="page"/>
      </w:r>
    </w:p>
    <w:tbl>
      <w:tblPr>
        <w:tblW w:w="9802"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1913"/>
        <w:gridCol w:w="1520"/>
        <w:gridCol w:w="1526"/>
        <w:gridCol w:w="1780"/>
        <w:gridCol w:w="1653"/>
        <w:gridCol w:w="1410"/>
      </w:tblGrid>
      <w:tr w:rsidR="00707ED5" w:rsidRPr="00CE243A" w:rsidTr="001E0E99">
        <w:trPr>
          <w:trHeight w:val="173"/>
        </w:trPr>
        <w:tc>
          <w:tcPr>
            <w:tcW w:w="9802" w:type="dxa"/>
            <w:gridSpan w:val="6"/>
            <w:tcBorders>
              <w:top w:val="nil"/>
              <w:bottom w:val="single" w:sz="4" w:space="0" w:color="auto"/>
            </w:tcBorders>
            <w:shd w:val="clear" w:color="auto" w:fill="auto"/>
            <w:noWrap/>
            <w:vAlign w:val="center"/>
            <w:hideMark/>
          </w:tcPr>
          <w:p w:rsidR="00707ED5" w:rsidRPr="00CE243A" w:rsidRDefault="00707ED5" w:rsidP="001E0E99">
            <w:pPr>
              <w:spacing w:line="240" w:lineRule="auto"/>
              <w:rPr>
                <w:rFonts w:ascii="Times New Roman" w:eastAsia="Times New Roman" w:hAnsi="Times New Roman" w:cs="Times New Roman"/>
                <w:b/>
                <w:color w:val="000000"/>
                <w:sz w:val="28"/>
                <w:szCs w:val="28"/>
                <w:lang w:eastAsia="en-CA"/>
              </w:rPr>
            </w:pPr>
            <w:r w:rsidRPr="00CE243A">
              <w:rPr>
                <w:rFonts w:ascii="Times New Roman" w:eastAsia="Times New Roman" w:hAnsi="Times New Roman" w:cs="Times New Roman"/>
                <w:b/>
                <w:color w:val="000000"/>
                <w:sz w:val="28"/>
                <w:szCs w:val="28"/>
                <w:lang w:eastAsia="en-CA"/>
              </w:rPr>
              <w:lastRenderedPageBreak/>
              <w:t>Table 3. Stepwise Regression</w:t>
            </w:r>
            <w:r>
              <w:rPr>
                <w:rFonts w:ascii="Times New Roman" w:eastAsia="Times New Roman" w:hAnsi="Times New Roman" w:cs="Times New Roman"/>
                <w:b/>
                <w:color w:val="000000"/>
                <w:sz w:val="28"/>
                <w:szCs w:val="28"/>
                <w:lang w:eastAsia="en-CA"/>
              </w:rPr>
              <w:t>s</w:t>
            </w:r>
            <w:r w:rsidRPr="00CE243A">
              <w:rPr>
                <w:rFonts w:ascii="Times New Roman" w:eastAsia="Times New Roman" w:hAnsi="Times New Roman" w:cs="Times New Roman"/>
                <w:b/>
                <w:color w:val="000000"/>
                <w:sz w:val="28"/>
                <w:szCs w:val="28"/>
                <w:lang w:eastAsia="en-CA"/>
              </w:rPr>
              <w:t>, Likelihood of Financial Vulnerability</w:t>
            </w:r>
          </w:p>
        </w:tc>
      </w:tr>
      <w:tr w:rsidR="00707ED5" w:rsidRPr="001D01F6" w:rsidTr="001E0E99">
        <w:trPr>
          <w:trHeight w:val="173"/>
        </w:trPr>
        <w:tc>
          <w:tcPr>
            <w:tcW w:w="1913"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line="240"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Controls</w:t>
            </w:r>
          </w:p>
        </w:tc>
        <w:tc>
          <w:tcPr>
            <w:tcW w:w="1520"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line="240" w:lineRule="auto"/>
              <w:jc w:val="center"/>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Zero order</w:t>
            </w:r>
          </w:p>
        </w:tc>
        <w:tc>
          <w:tcPr>
            <w:tcW w:w="1526"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line="240" w:lineRule="auto"/>
              <w:jc w:val="center"/>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Demographic </w:t>
            </w:r>
          </w:p>
        </w:tc>
        <w:tc>
          <w:tcPr>
            <w:tcW w:w="1780"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line="240" w:lineRule="auto"/>
              <w:jc w:val="center"/>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Human Capital </w:t>
            </w:r>
          </w:p>
        </w:tc>
        <w:tc>
          <w:tcPr>
            <w:tcW w:w="1653"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line="240" w:lineRule="auto"/>
              <w:jc w:val="center"/>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Background </w:t>
            </w:r>
          </w:p>
        </w:tc>
        <w:tc>
          <w:tcPr>
            <w:tcW w:w="1409" w:type="dxa"/>
            <w:tcBorders>
              <w:top w:val="single" w:sz="4" w:space="0" w:color="auto"/>
              <w:bottom w:val="single" w:sz="4" w:space="0" w:color="auto"/>
            </w:tcBorders>
          </w:tcPr>
          <w:p w:rsidR="00707ED5" w:rsidRPr="001D01F6" w:rsidRDefault="00707ED5" w:rsidP="001E0E99">
            <w:pPr>
              <w:spacing w:line="240" w:lineRule="auto"/>
              <w:jc w:val="center"/>
              <w:rPr>
                <w:rFonts w:ascii="Times New Roman" w:eastAsia="Times New Roman" w:hAnsi="Times New Roman" w:cs="Times New Roman"/>
                <w:b/>
                <w:color w:val="000000"/>
                <w:lang w:eastAsia="en-CA"/>
              </w:rPr>
            </w:pPr>
            <w:r>
              <w:rPr>
                <w:rFonts w:ascii="Times New Roman" w:eastAsia="Times New Roman" w:hAnsi="Times New Roman" w:cs="Times New Roman"/>
                <w:b/>
                <w:color w:val="000000"/>
                <w:lang w:eastAsia="en-CA"/>
              </w:rPr>
              <w:t>Income</w:t>
            </w:r>
          </w:p>
        </w:tc>
      </w:tr>
      <w:tr w:rsidR="00707ED5" w:rsidRPr="001D01F6" w:rsidTr="001E0E99">
        <w:trPr>
          <w:trHeight w:val="319"/>
        </w:trPr>
        <w:tc>
          <w:tcPr>
            <w:tcW w:w="1913" w:type="dxa"/>
            <w:tcBorders>
              <w:top w:val="single" w:sz="4" w:space="0" w:color="auto"/>
            </w:tcBorders>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Pr>
                <w:rFonts w:ascii="Times New Roman" w:eastAsia="Times New Roman" w:hAnsi="Times New Roman" w:cs="Times New Roman"/>
                <w:b/>
                <w:color w:val="000000"/>
                <w:lang w:eastAsia="en-CA"/>
              </w:rPr>
              <w:t>NL</w:t>
            </w:r>
          </w:p>
        </w:tc>
        <w:tc>
          <w:tcPr>
            <w:tcW w:w="1520" w:type="dxa"/>
            <w:tcBorders>
              <w:top w:val="single" w:sz="4" w:space="0" w:color="auto"/>
            </w:tcBorders>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-0.063</w:t>
            </w:r>
          </w:p>
        </w:tc>
        <w:tc>
          <w:tcPr>
            <w:tcW w:w="1526" w:type="dxa"/>
            <w:tcBorders>
              <w:top w:val="single" w:sz="4" w:space="0" w:color="auto"/>
            </w:tcBorders>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-0.07</w:t>
            </w:r>
          </w:p>
        </w:tc>
        <w:tc>
          <w:tcPr>
            <w:tcW w:w="1780" w:type="dxa"/>
            <w:tcBorders>
              <w:top w:val="single" w:sz="4" w:space="0" w:color="auto"/>
            </w:tcBorders>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-0.077</w:t>
            </w:r>
          </w:p>
        </w:tc>
        <w:tc>
          <w:tcPr>
            <w:tcW w:w="1653" w:type="dxa"/>
            <w:tcBorders>
              <w:top w:val="single" w:sz="4" w:space="0" w:color="auto"/>
            </w:tcBorders>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-0.062</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-0.094</w:t>
            </w:r>
          </w:p>
        </w:tc>
      </w:tr>
      <w:tr w:rsidR="00707ED5" w:rsidRPr="001D01F6" w:rsidTr="001E0E99">
        <w:trPr>
          <w:trHeight w:val="80"/>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b/>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(0.028)</w:t>
            </w:r>
            <w:r>
              <w:rPr>
                <w:rFonts w:ascii="Times New Roman" w:eastAsia="Times New Roman" w:hAnsi="Times New Roman" w:cs="Times New Roman"/>
                <w:color w:val="000000"/>
                <w:lang w:eastAsia="en-CA"/>
              </w:rPr>
              <w:t>**</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(0.026)</w:t>
            </w:r>
            <w:r>
              <w:rPr>
                <w:rFonts w:ascii="Times New Roman" w:eastAsia="Times New Roman" w:hAnsi="Times New Roman" w:cs="Times New Roman"/>
                <w:color w:val="000000"/>
                <w:lang w:eastAsia="en-CA"/>
              </w:rPr>
              <w:t>**</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(0.025)</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(0.027)</w:t>
            </w:r>
            <w:r>
              <w:rPr>
                <w:rFonts w:ascii="Times New Roman" w:eastAsia="Times New Roman" w:hAnsi="Times New Roman" w:cs="Times New Roman"/>
                <w:color w:val="000000"/>
                <w:lang w:eastAsia="en-CA"/>
              </w:rPr>
              <w:t>**</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(0.025)</w:t>
            </w:r>
            <w:r>
              <w:rPr>
                <w:rFonts w:ascii="Times New Roman" w:hAnsi="Times New Roman" w:cs="Times New Roman"/>
                <w:color w:val="000000"/>
              </w:rPr>
              <w:t>**</w:t>
            </w:r>
          </w:p>
        </w:tc>
      </w:tr>
      <w:tr w:rsidR="00707ED5" w:rsidRPr="001D01F6" w:rsidTr="001E0E99">
        <w:trPr>
          <w:trHeight w:val="337"/>
        </w:trPr>
        <w:tc>
          <w:tcPr>
            <w:tcW w:w="1913"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PEI</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0.032</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0.015</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-0.007</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0.024</w:t>
            </w:r>
          </w:p>
        </w:tc>
      </w:tr>
      <w:tr w:rsidR="00707ED5" w:rsidRPr="001D01F6" w:rsidTr="001E0E99">
        <w:trPr>
          <w:trHeight w:val="80"/>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b/>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-0.041</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-0.039</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-0.037</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-0.039</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-0.043</w:t>
            </w:r>
          </w:p>
        </w:tc>
      </w:tr>
      <w:tr w:rsidR="00707ED5" w:rsidRPr="001D01F6" w:rsidTr="001E0E99">
        <w:trPr>
          <w:trHeight w:val="483"/>
        </w:trPr>
        <w:tc>
          <w:tcPr>
            <w:tcW w:w="1913"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Nova Scotia</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0.081</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0.078</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0.091</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0.105</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0.06</w:t>
            </w:r>
            <w:r>
              <w:rPr>
                <w:rFonts w:ascii="Times New Roman" w:hAnsi="Times New Roman" w:cs="Times New Roman"/>
                <w:color w:val="000000"/>
              </w:rPr>
              <w:t>0</w:t>
            </w:r>
          </w:p>
        </w:tc>
      </w:tr>
      <w:tr w:rsidR="00707ED5" w:rsidRPr="001D01F6" w:rsidTr="001E0E99">
        <w:trPr>
          <w:trHeight w:val="54"/>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b/>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(0.034)</w:t>
            </w:r>
            <w:r>
              <w:rPr>
                <w:rFonts w:ascii="Times New Roman" w:eastAsia="Times New Roman" w:hAnsi="Times New Roman" w:cs="Times New Roman"/>
                <w:color w:val="000000"/>
                <w:lang w:eastAsia="en-CA"/>
              </w:rPr>
              <w:t>**</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(0.035)</w:t>
            </w:r>
            <w:r>
              <w:rPr>
                <w:rFonts w:ascii="Times New Roman" w:eastAsia="Times New Roman" w:hAnsi="Times New Roman" w:cs="Times New Roman"/>
                <w:color w:val="000000"/>
                <w:lang w:eastAsia="en-CA"/>
              </w:rPr>
              <w:t>**</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(0.036)</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(0.038)</w:t>
            </w:r>
            <w:r>
              <w:rPr>
                <w:rFonts w:ascii="Times New Roman" w:eastAsia="Times New Roman" w:hAnsi="Times New Roman" w:cs="Times New Roman"/>
                <w:color w:val="000000"/>
                <w:lang w:eastAsia="en-CA"/>
              </w:rPr>
              <w:t>**</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1D01F6">
              <w:rPr>
                <w:rFonts w:ascii="Times New Roman" w:hAnsi="Times New Roman" w:cs="Times New Roman"/>
                <w:color w:val="000000"/>
              </w:rPr>
              <w:t>0.038</w:t>
            </w:r>
            <w:r>
              <w:rPr>
                <w:rFonts w:ascii="Times New Roman" w:hAnsi="Times New Roman" w:cs="Times New Roman"/>
                <w:color w:val="000000"/>
              </w:rPr>
              <w:t>)*</w:t>
            </w:r>
          </w:p>
        </w:tc>
      </w:tr>
      <w:tr w:rsidR="00707ED5" w:rsidRPr="001D01F6" w:rsidTr="001E0E99">
        <w:trPr>
          <w:trHeight w:val="463"/>
        </w:trPr>
        <w:tc>
          <w:tcPr>
            <w:tcW w:w="1913"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New Brunswick </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0.051</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0.05</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0.036</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0.062</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0.018</w:t>
            </w:r>
          </w:p>
        </w:tc>
      </w:tr>
      <w:tr w:rsidR="00707ED5" w:rsidRPr="001D01F6" w:rsidTr="001E0E99">
        <w:trPr>
          <w:trHeight w:val="173"/>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b/>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-0.034</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-0.034</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-0.034</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-0.036</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-0.035</w:t>
            </w:r>
          </w:p>
        </w:tc>
      </w:tr>
      <w:tr w:rsidR="00707ED5" w:rsidRPr="001D01F6" w:rsidTr="001E0E99">
        <w:trPr>
          <w:trHeight w:val="457"/>
        </w:trPr>
        <w:tc>
          <w:tcPr>
            <w:tcW w:w="1913"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Québec </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-0.007</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-0.008</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0.002</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0.029</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-0.024</w:t>
            </w:r>
          </w:p>
        </w:tc>
      </w:tr>
      <w:tr w:rsidR="00707ED5" w:rsidRPr="001D01F6" w:rsidTr="001E0E99">
        <w:trPr>
          <w:trHeight w:val="173"/>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b/>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-0.018</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-0.019</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-0.019</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-0.027</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-0.029</w:t>
            </w:r>
          </w:p>
        </w:tc>
      </w:tr>
      <w:tr w:rsidR="00707ED5" w:rsidRPr="001D01F6" w:rsidTr="001E0E99">
        <w:trPr>
          <w:trHeight w:val="393"/>
        </w:trPr>
        <w:tc>
          <w:tcPr>
            <w:tcW w:w="1913"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Manitoba </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-0.007</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-0.037</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-0.031</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-0.024</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-0.024</w:t>
            </w:r>
          </w:p>
        </w:tc>
      </w:tr>
      <w:tr w:rsidR="00707ED5" w:rsidRPr="001D01F6" w:rsidTr="001E0E99">
        <w:trPr>
          <w:trHeight w:val="58"/>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b/>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-0.027</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-0.025</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-0.026</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-0.026</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-0.028</w:t>
            </w:r>
          </w:p>
        </w:tc>
      </w:tr>
      <w:tr w:rsidR="00707ED5" w:rsidRPr="001D01F6" w:rsidTr="001E0E99">
        <w:trPr>
          <w:trHeight w:val="309"/>
        </w:trPr>
        <w:tc>
          <w:tcPr>
            <w:tcW w:w="1913"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Saskatchewan </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-0.022</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-0.05</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-0.055</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-0.051</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-0.033</w:t>
            </w:r>
          </w:p>
        </w:tc>
      </w:tr>
      <w:tr w:rsidR="00707ED5" w:rsidRPr="001D01F6" w:rsidTr="001E0E99">
        <w:trPr>
          <w:trHeight w:val="58"/>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b/>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-0.028</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-0.026</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(0.025)</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(0.025)</w:t>
            </w:r>
            <w:r>
              <w:rPr>
                <w:rFonts w:ascii="Times New Roman" w:eastAsia="Times New Roman" w:hAnsi="Times New Roman" w:cs="Times New Roman"/>
                <w:color w:val="000000"/>
                <w:lang w:eastAsia="en-CA"/>
              </w:rPr>
              <w:t>**</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-0.028</w:t>
            </w:r>
          </w:p>
        </w:tc>
      </w:tr>
      <w:tr w:rsidR="00707ED5" w:rsidRPr="001D01F6" w:rsidTr="001E0E99">
        <w:trPr>
          <w:trHeight w:val="315"/>
        </w:trPr>
        <w:tc>
          <w:tcPr>
            <w:tcW w:w="1913"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Alberta </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-0.033</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-0.041</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-0.043</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-0.039</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-0.025</w:t>
            </w:r>
          </w:p>
        </w:tc>
      </w:tr>
      <w:tr w:rsidR="00707ED5" w:rsidRPr="001D01F6" w:rsidTr="001E0E99">
        <w:trPr>
          <w:trHeight w:val="173"/>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b/>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-0.019</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(0.019)</w:t>
            </w:r>
            <w:r>
              <w:rPr>
                <w:rFonts w:ascii="Times New Roman" w:eastAsia="Times New Roman" w:hAnsi="Times New Roman" w:cs="Times New Roman"/>
                <w:color w:val="000000"/>
                <w:lang w:eastAsia="en-CA"/>
              </w:rPr>
              <w:t>**</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(0.019)</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(0.018)</w:t>
            </w:r>
            <w:r>
              <w:rPr>
                <w:rFonts w:ascii="Times New Roman" w:eastAsia="Times New Roman" w:hAnsi="Times New Roman" w:cs="Times New Roman"/>
                <w:color w:val="000000"/>
                <w:lang w:eastAsia="en-CA"/>
              </w:rPr>
              <w:t>**</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-0.021</w:t>
            </w:r>
          </w:p>
        </w:tc>
      </w:tr>
      <w:tr w:rsidR="00707ED5" w:rsidRPr="001D01F6" w:rsidTr="001E0E99">
        <w:trPr>
          <w:trHeight w:val="322"/>
        </w:trPr>
        <w:tc>
          <w:tcPr>
            <w:tcW w:w="1913"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b/>
                <w:color w:val="000000"/>
                <w:lang w:eastAsia="en-CA"/>
              </w:rPr>
            </w:pPr>
            <w:r w:rsidRPr="001D01F6">
              <w:rPr>
                <w:rFonts w:ascii="Times New Roman" w:eastAsia="Times New Roman" w:hAnsi="Times New Roman" w:cs="Times New Roman"/>
                <w:b/>
                <w:color w:val="000000"/>
                <w:lang w:eastAsia="en-CA"/>
              </w:rPr>
              <w:t xml:space="preserve">British Columbia </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0.039</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0.046</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0.048</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0.047</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0.035</w:t>
            </w:r>
          </w:p>
        </w:tc>
      </w:tr>
      <w:tr w:rsidR="00707ED5" w:rsidRPr="001D01F6" w:rsidTr="001E0E99">
        <w:trPr>
          <w:trHeight w:val="58"/>
        </w:trPr>
        <w:tc>
          <w:tcPr>
            <w:tcW w:w="191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-0.024</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-0.024</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(0.024)</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-0.024</w:t>
            </w:r>
          </w:p>
        </w:tc>
        <w:tc>
          <w:tcPr>
            <w:tcW w:w="1409" w:type="dxa"/>
            <w:tcBorders>
              <w:top w:val="nil"/>
              <w:left w:val="nil"/>
              <w:bottom w:val="nil"/>
              <w:right w:val="nil"/>
            </w:tcBorders>
            <w:shd w:val="clear" w:color="auto" w:fill="auto"/>
            <w:vAlign w:val="bottom"/>
          </w:tcPr>
          <w:p w:rsidR="00707ED5" w:rsidRPr="001D01F6" w:rsidRDefault="00707ED5" w:rsidP="001E0E99">
            <w:pPr>
              <w:spacing w:after="0" w:line="240" w:lineRule="auto"/>
              <w:jc w:val="center"/>
              <w:rPr>
                <w:rFonts w:ascii="Times New Roman" w:hAnsi="Times New Roman" w:cs="Times New Roman"/>
                <w:color w:val="000000"/>
              </w:rPr>
            </w:pPr>
            <w:r w:rsidRPr="001D01F6">
              <w:rPr>
                <w:rFonts w:ascii="Times New Roman" w:hAnsi="Times New Roman" w:cs="Times New Roman"/>
                <w:color w:val="000000"/>
              </w:rPr>
              <w:t>-0.028</w:t>
            </w:r>
          </w:p>
        </w:tc>
      </w:tr>
      <w:tr w:rsidR="00707ED5" w:rsidRPr="001D01F6" w:rsidTr="001E0E99">
        <w:trPr>
          <w:trHeight w:val="565"/>
        </w:trPr>
        <w:tc>
          <w:tcPr>
            <w:tcW w:w="1913" w:type="dxa"/>
            <w:shd w:val="clear" w:color="auto" w:fill="auto"/>
            <w:noWrap/>
            <w:vAlign w:val="bottom"/>
            <w:hideMark/>
          </w:tcPr>
          <w:p w:rsidR="00707ED5" w:rsidRPr="00D44CC7" w:rsidRDefault="00707ED5" w:rsidP="001E0E99">
            <w:pPr>
              <w:spacing w:after="0" w:line="240" w:lineRule="auto"/>
              <w:rPr>
                <w:rFonts w:ascii="Times New Roman" w:eastAsia="Times New Roman" w:hAnsi="Times New Roman" w:cs="Times New Roman"/>
                <w:b/>
                <w:color w:val="000000"/>
                <w:sz w:val="20"/>
                <w:szCs w:val="20"/>
                <w:lang w:eastAsia="en-CA"/>
              </w:rPr>
            </w:pPr>
            <w:r w:rsidRPr="00D44CC7">
              <w:rPr>
                <w:rFonts w:ascii="Times New Roman" w:eastAsia="Times New Roman" w:hAnsi="Times New Roman" w:cs="Times New Roman"/>
                <w:b/>
                <w:color w:val="000000"/>
                <w:sz w:val="20"/>
                <w:szCs w:val="20"/>
                <w:lang w:eastAsia="en-CA"/>
              </w:rPr>
              <w:t xml:space="preserve">Children </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0.055</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0.041</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0.046</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0.051</w:t>
            </w:r>
          </w:p>
        </w:tc>
      </w:tr>
      <w:tr w:rsidR="00707ED5" w:rsidRPr="001D01F6" w:rsidTr="001E0E99">
        <w:trPr>
          <w:trHeight w:val="173"/>
        </w:trPr>
        <w:tc>
          <w:tcPr>
            <w:tcW w:w="1913" w:type="dxa"/>
            <w:shd w:val="clear" w:color="auto" w:fill="auto"/>
            <w:noWrap/>
            <w:vAlign w:val="bottom"/>
            <w:hideMark/>
          </w:tcPr>
          <w:p w:rsidR="00707ED5" w:rsidRPr="00D44CC7" w:rsidRDefault="00707ED5" w:rsidP="001E0E99">
            <w:pPr>
              <w:spacing w:after="0" w:line="240" w:lineRule="auto"/>
              <w:jc w:val="center"/>
              <w:rPr>
                <w:rFonts w:ascii="Times New Roman" w:eastAsia="Times New Roman" w:hAnsi="Times New Roman" w:cs="Times New Roman"/>
                <w:b/>
                <w:color w:val="000000"/>
                <w:sz w:val="20"/>
                <w:szCs w:val="20"/>
                <w:lang w:eastAsia="en-CA"/>
              </w:rPr>
            </w:pPr>
          </w:p>
        </w:tc>
        <w:tc>
          <w:tcPr>
            <w:tcW w:w="1520"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(0.008)</w:t>
            </w:r>
            <w:r>
              <w:rPr>
                <w:rFonts w:ascii="Times New Roman" w:eastAsia="Times New Roman" w:hAnsi="Times New Roman" w:cs="Times New Roman"/>
                <w:color w:val="000000"/>
                <w:lang w:eastAsia="en-CA"/>
              </w:rPr>
              <w:t>**</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(0.008)</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(0.008)</w:t>
            </w:r>
            <w:r>
              <w:rPr>
                <w:rFonts w:ascii="Times New Roman" w:eastAsia="Times New Roman" w:hAnsi="Times New Roman" w:cs="Times New Roman"/>
                <w:color w:val="000000"/>
                <w:lang w:eastAsia="en-CA"/>
              </w:rPr>
              <w:t>**</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(0.010</w:t>
            </w:r>
            <w:r w:rsidRPr="001D01F6">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w:t>
            </w:r>
          </w:p>
        </w:tc>
      </w:tr>
      <w:tr w:rsidR="00707ED5" w:rsidRPr="001D01F6" w:rsidTr="001E0E99">
        <w:trPr>
          <w:trHeight w:val="317"/>
        </w:trPr>
        <w:tc>
          <w:tcPr>
            <w:tcW w:w="1913" w:type="dxa"/>
            <w:shd w:val="clear" w:color="auto" w:fill="auto"/>
            <w:noWrap/>
            <w:vAlign w:val="bottom"/>
            <w:hideMark/>
          </w:tcPr>
          <w:p w:rsidR="00707ED5" w:rsidRPr="00D44CC7" w:rsidRDefault="00707ED5" w:rsidP="001E0E99">
            <w:pPr>
              <w:spacing w:after="0" w:line="240" w:lineRule="auto"/>
              <w:rPr>
                <w:rFonts w:ascii="Times New Roman" w:eastAsia="Times New Roman" w:hAnsi="Times New Roman" w:cs="Times New Roman"/>
                <w:b/>
                <w:color w:val="000000"/>
                <w:sz w:val="20"/>
                <w:szCs w:val="20"/>
                <w:lang w:eastAsia="en-CA"/>
              </w:rPr>
            </w:pPr>
            <w:r w:rsidRPr="00D44CC7">
              <w:rPr>
                <w:rFonts w:ascii="Times New Roman" w:eastAsia="Times New Roman" w:hAnsi="Times New Roman" w:cs="Times New Roman"/>
                <w:b/>
                <w:color w:val="000000"/>
                <w:sz w:val="20"/>
                <w:szCs w:val="20"/>
                <w:lang w:eastAsia="en-CA"/>
              </w:rPr>
              <w:t>Never married</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-0.078</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-0.097</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-0.085</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-0.081</w:t>
            </w:r>
          </w:p>
        </w:tc>
      </w:tr>
      <w:tr w:rsidR="00707ED5" w:rsidRPr="001D01F6" w:rsidTr="001E0E99">
        <w:trPr>
          <w:trHeight w:val="173"/>
        </w:trPr>
        <w:tc>
          <w:tcPr>
            <w:tcW w:w="1913" w:type="dxa"/>
            <w:shd w:val="clear" w:color="auto" w:fill="auto"/>
            <w:noWrap/>
            <w:vAlign w:val="bottom"/>
            <w:hideMark/>
          </w:tcPr>
          <w:p w:rsidR="00707ED5" w:rsidRPr="00D44CC7" w:rsidRDefault="00707ED5" w:rsidP="001E0E99">
            <w:pPr>
              <w:spacing w:after="0" w:line="240" w:lineRule="auto"/>
              <w:jc w:val="center"/>
              <w:rPr>
                <w:rFonts w:ascii="Times New Roman" w:eastAsia="Times New Roman" w:hAnsi="Times New Roman" w:cs="Times New Roman"/>
                <w:b/>
                <w:color w:val="000000"/>
                <w:sz w:val="20"/>
                <w:szCs w:val="20"/>
                <w:lang w:eastAsia="en-CA"/>
              </w:rPr>
            </w:pPr>
          </w:p>
        </w:tc>
        <w:tc>
          <w:tcPr>
            <w:tcW w:w="1520"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(0.018)</w:t>
            </w:r>
            <w:r>
              <w:rPr>
                <w:rFonts w:ascii="Times New Roman" w:eastAsia="Times New Roman" w:hAnsi="Times New Roman" w:cs="Times New Roman"/>
                <w:color w:val="000000"/>
                <w:lang w:eastAsia="en-CA"/>
              </w:rPr>
              <w:t>**</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(0.018)</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(0.019)</w:t>
            </w:r>
            <w:r>
              <w:rPr>
                <w:rFonts w:ascii="Times New Roman" w:eastAsia="Times New Roman" w:hAnsi="Times New Roman" w:cs="Times New Roman"/>
                <w:color w:val="000000"/>
                <w:lang w:eastAsia="en-CA"/>
              </w:rPr>
              <w:t>**</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(0.022</w:t>
            </w:r>
            <w:r w:rsidRPr="001D01F6">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w:t>
            </w:r>
          </w:p>
        </w:tc>
      </w:tr>
      <w:tr w:rsidR="00707ED5" w:rsidRPr="001D01F6" w:rsidTr="001E0E99">
        <w:trPr>
          <w:trHeight w:val="321"/>
        </w:trPr>
        <w:tc>
          <w:tcPr>
            <w:tcW w:w="1913" w:type="dxa"/>
            <w:shd w:val="clear" w:color="auto" w:fill="auto"/>
            <w:noWrap/>
            <w:vAlign w:val="bottom"/>
            <w:hideMark/>
          </w:tcPr>
          <w:p w:rsidR="00707ED5" w:rsidRPr="00D44CC7" w:rsidRDefault="00707ED5" w:rsidP="001E0E99">
            <w:pPr>
              <w:spacing w:after="0" w:line="240" w:lineRule="auto"/>
              <w:rPr>
                <w:rFonts w:ascii="Times New Roman" w:eastAsia="Times New Roman" w:hAnsi="Times New Roman" w:cs="Times New Roman"/>
                <w:b/>
                <w:color w:val="000000"/>
                <w:sz w:val="20"/>
                <w:szCs w:val="20"/>
                <w:lang w:eastAsia="en-CA"/>
              </w:rPr>
            </w:pPr>
            <w:r w:rsidRPr="00D44CC7">
              <w:rPr>
                <w:rFonts w:ascii="Times New Roman" w:eastAsia="Times New Roman" w:hAnsi="Times New Roman" w:cs="Times New Roman"/>
                <w:b/>
                <w:color w:val="000000"/>
                <w:sz w:val="20"/>
                <w:szCs w:val="20"/>
                <w:lang w:eastAsia="en-CA"/>
              </w:rPr>
              <w:t>University degree</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-0.095</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-0.095</w:t>
            </w:r>
            <w:r>
              <w:rPr>
                <w:rFonts w:ascii="Times New Roman" w:eastAsia="Times New Roman" w:hAnsi="Times New Roman" w:cs="Times New Roman"/>
                <w:color w:val="000000"/>
                <w:lang w:eastAsia="en-CA"/>
              </w:rPr>
              <w:t>**</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-0.074**</w:t>
            </w:r>
          </w:p>
        </w:tc>
      </w:tr>
      <w:tr w:rsidR="00707ED5" w:rsidRPr="001D01F6" w:rsidTr="001E0E99">
        <w:trPr>
          <w:trHeight w:val="173"/>
        </w:trPr>
        <w:tc>
          <w:tcPr>
            <w:tcW w:w="1913" w:type="dxa"/>
            <w:shd w:val="clear" w:color="auto" w:fill="auto"/>
            <w:noWrap/>
            <w:vAlign w:val="bottom"/>
            <w:hideMark/>
          </w:tcPr>
          <w:p w:rsidR="00707ED5" w:rsidRPr="00D44CC7" w:rsidRDefault="00707ED5" w:rsidP="001E0E99">
            <w:pPr>
              <w:spacing w:after="0" w:line="240" w:lineRule="auto"/>
              <w:jc w:val="center"/>
              <w:rPr>
                <w:rFonts w:ascii="Times New Roman" w:eastAsia="Times New Roman" w:hAnsi="Times New Roman" w:cs="Times New Roman"/>
                <w:b/>
                <w:color w:val="000000"/>
                <w:sz w:val="20"/>
                <w:szCs w:val="20"/>
                <w:lang w:eastAsia="en-CA"/>
              </w:rPr>
            </w:pPr>
          </w:p>
        </w:tc>
        <w:tc>
          <w:tcPr>
            <w:tcW w:w="1520"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526"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(0.019)</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(0.019)</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(0.021</w:t>
            </w:r>
            <w:r w:rsidRPr="001D01F6">
              <w:rPr>
                <w:rFonts w:ascii="Times New Roman" w:eastAsia="Times New Roman" w:hAnsi="Times New Roman" w:cs="Times New Roman"/>
                <w:color w:val="000000"/>
                <w:lang w:eastAsia="en-CA"/>
              </w:rPr>
              <w:t>)</w:t>
            </w:r>
          </w:p>
        </w:tc>
      </w:tr>
      <w:tr w:rsidR="00707ED5" w:rsidRPr="001D01F6" w:rsidTr="001E0E99">
        <w:trPr>
          <w:trHeight w:val="309"/>
        </w:trPr>
        <w:tc>
          <w:tcPr>
            <w:tcW w:w="1913" w:type="dxa"/>
            <w:shd w:val="clear" w:color="auto" w:fill="auto"/>
            <w:noWrap/>
            <w:vAlign w:val="bottom"/>
            <w:hideMark/>
          </w:tcPr>
          <w:p w:rsidR="00707ED5" w:rsidRPr="00D44CC7" w:rsidRDefault="00707ED5" w:rsidP="001E0E99">
            <w:pPr>
              <w:spacing w:after="0" w:line="240" w:lineRule="auto"/>
              <w:rPr>
                <w:rFonts w:ascii="Times New Roman" w:eastAsia="Times New Roman" w:hAnsi="Times New Roman" w:cs="Times New Roman"/>
                <w:b/>
                <w:color w:val="000000"/>
                <w:sz w:val="20"/>
                <w:szCs w:val="20"/>
                <w:lang w:eastAsia="en-CA"/>
              </w:rPr>
            </w:pPr>
            <w:r>
              <w:rPr>
                <w:rFonts w:ascii="Times New Roman" w:eastAsia="Times New Roman" w:hAnsi="Times New Roman" w:cs="Times New Roman"/>
                <w:b/>
                <w:color w:val="000000"/>
                <w:sz w:val="20"/>
                <w:szCs w:val="20"/>
                <w:lang w:eastAsia="en-CA"/>
              </w:rPr>
              <w:t>Number of employers</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0.034</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0.037</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0.036</w:t>
            </w:r>
          </w:p>
        </w:tc>
      </w:tr>
      <w:tr w:rsidR="00707ED5" w:rsidRPr="001D01F6" w:rsidTr="001E0E99">
        <w:trPr>
          <w:trHeight w:val="173"/>
        </w:trPr>
        <w:tc>
          <w:tcPr>
            <w:tcW w:w="1913" w:type="dxa"/>
            <w:shd w:val="clear" w:color="auto" w:fill="auto"/>
            <w:noWrap/>
            <w:vAlign w:val="bottom"/>
            <w:hideMark/>
          </w:tcPr>
          <w:p w:rsidR="00707ED5" w:rsidRPr="00D44CC7" w:rsidRDefault="00707ED5" w:rsidP="001E0E99">
            <w:pPr>
              <w:spacing w:after="0" w:line="240" w:lineRule="auto"/>
              <w:jc w:val="center"/>
              <w:rPr>
                <w:rFonts w:ascii="Times New Roman" w:eastAsia="Times New Roman" w:hAnsi="Times New Roman" w:cs="Times New Roman"/>
                <w:b/>
                <w:color w:val="000000"/>
                <w:sz w:val="20"/>
                <w:szCs w:val="20"/>
                <w:lang w:eastAsia="en-CA"/>
              </w:rPr>
            </w:pPr>
          </w:p>
        </w:tc>
        <w:tc>
          <w:tcPr>
            <w:tcW w:w="1520"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526" w:type="dxa"/>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(0.007)</w:t>
            </w:r>
            <w:r>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(0.007)</w:t>
            </w:r>
            <w:r>
              <w:rPr>
                <w:rFonts w:ascii="Times New Roman" w:eastAsia="Times New Roman" w:hAnsi="Times New Roman" w:cs="Times New Roman"/>
                <w:color w:val="000000"/>
                <w:lang w:eastAsia="en-CA"/>
              </w:rPr>
              <w:t>**</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(0.007)</w:t>
            </w:r>
            <w:r>
              <w:rPr>
                <w:rFonts w:ascii="Times New Roman" w:eastAsia="Times New Roman" w:hAnsi="Times New Roman" w:cs="Times New Roman"/>
                <w:color w:val="000000"/>
                <w:lang w:eastAsia="en-CA"/>
              </w:rPr>
              <w:t>**</w:t>
            </w:r>
          </w:p>
        </w:tc>
      </w:tr>
      <w:tr w:rsidR="00707ED5" w:rsidRPr="00377D21" w:rsidTr="001E0E99">
        <w:trPr>
          <w:trHeight w:val="376"/>
        </w:trPr>
        <w:tc>
          <w:tcPr>
            <w:tcW w:w="1913" w:type="dxa"/>
            <w:shd w:val="clear" w:color="auto" w:fill="auto"/>
            <w:noWrap/>
            <w:vAlign w:val="bottom"/>
          </w:tcPr>
          <w:p w:rsidR="00707ED5" w:rsidRPr="00377D21" w:rsidRDefault="00707ED5" w:rsidP="001E0E99">
            <w:pPr>
              <w:spacing w:after="0" w:line="240" w:lineRule="auto"/>
              <w:rPr>
                <w:rFonts w:ascii="Times New Roman" w:eastAsia="Times New Roman" w:hAnsi="Times New Roman" w:cs="Times New Roman"/>
                <w:b/>
                <w:sz w:val="20"/>
                <w:szCs w:val="20"/>
                <w:lang w:eastAsia="en-CA"/>
              </w:rPr>
            </w:pPr>
            <w:r w:rsidRPr="00377D21">
              <w:rPr>
                <w:rFonts w:ascii="Times New Roman" w:eastAsia="Times New Roman" w:hAnsi="Times New Roman" w:cs="Times New Roman"/>
                <w:b/>
                <w:sz w:val="20"/>
                <w:szCs w:val="20"/>
                <w:lang w:eastAsia="en-CA"/>
              </w:rPr>
              <w:t>Growing up single-</w:t>
            </w:r>
          </w:p>
        </w:tc>
        <w:tc>
          <w:tcPr>
            <w:tcW w:w="1520" w:type="dxa"/>
            <w:shd w:val="clear" w:color="auto" w:fill="auto"/>
            <w:noWrap/>
            <w:vAlign w:val="bottom"/>
          </w:tcPr>
          <w:p w:rsidR="00707ED5" w:rsidRPr="00377D21" w:rsidRDefault="00707ED5" w:rsidP="001E0E99">
            <w:pPr>
              <w:spacing w:after="0" w:line="240" w:lineRule="auto"/>
              <w:jc w:val="center"/>
              <w:rPr>
                <w:rFonts w:ascii="Times New Roman" w:eastAsia="Times New Roman" w:hAnsi="Times New Roman" w:cs="Times New Roman"/>
                <w:lang w:eastAsia="en-CA"/>
              </w:rPr>
            </w:pPr>
            <w:r w:rsidRPr="00377D21">
              <w:rPr>
                <w:rFonts w:ascii="Times New Roman" w:eastAsia="Times New Roman" w:hAnsi="Times New Roman" w:cs="Times New Roman"/>
                <w:lang w:eastAsia="en-CA"/>
              </w:rPr>
              <w:t>-----</w:t>
            </w:r>
          </w:p>
        </w:tc>
        <w:tc>
          <w:tcPr>
            <w:tcW w:w="1526" w:type="dxa"/>
            <w:shd w:val="clear" w:color="auto" w:fill="auto"/>
            <w:noWrap/>
            <w:vAlign w:val="bottom"/>
          </w:tcPr>
          <w:p w:rsidR="00707ED5" w:rsidRPr="00377D21" w:rsidRDefault="00707ED5" w:rsidP="001E0E99">
            <w:pPr>
              <w:spacing w:after="0" w:line="240" w:lineRule="auto"/>
              <w:jc w:val="center"/>
              <w:rPr>
                <w:rFonts w:ascii="Times New Roman" w:eastAsia="Times New Roman" w:hAnsi="Times New Roman" w:cs="Times New Roman"/>
                <w:lang w:eastAsia="en-CA"/>
              </w:rPr>
            </w:pPr>
            <w:r w:rsidRPr="00377D21">
              <w:rPr>
                <w:rFonts w:ascii="Times New Roman" w:eastAsia="Times New Roman" w:hAnsi="Times New Roman" w:cs="Times New Roman"/>
                <w:lang w:eastAsia="en-CA"/>
              </w:rPr>
              <w:t>-----</w:t>
            </w:r>
          </w:p>
        </w:tc>
        <w:tc>
          <w:tcPr>
            <w:tcW w:w="1780" w:type="dxa"/>
            <w:shd w:val="clear" w:color="auto" w:fill="auto"/>
            <w:noWrap/>
            <w:vAlign w:val="bottom"/>
          </w:tcPr>
          <w:p w:rsidR="00707ED5" w:rsidRPr="00377D21" w:rsidRDefault="00707ED5" w:rsidP="001E0E99">
            <w:pPr>
              <w:spacing w:after="0" w:line="240" w:lineRule="auto"/>
              <w:jc w:val="center"/>
              <w:rPr>
                <w:rFonts w:ascii="Times New Roman" w:eastAsia="Times New Roman" w:hAnsi="Times New Roman" w:cs="Times New Roman"/>
                <w:lang w:eastAsia="en-CA"/>
              </w:rPr>
            </w:pPr>
            <w:r w:rsidRPr="00377D21">
              <w:rPr>
                <w:rFonts w:ascii="Times New Roman" w:eastAsia="Times New Roman" w:hAnsi="Times New Roman" w:cs="Times New Roman"/>
                <w:lang w:eastAsia="en-CA"/>
              </w:rPr>
              <w:t>-----</w:t>
            </w:r>
          </w:p>
        </w:tc>
        <w:tc>
          <w:tcPr>
            <w:tcW w:w="1653" w:type="dxa"/>
            <w:shd w:val="clear" w:color="auto" w:fill="auto"/>
            <w:noWrap/>
            <w:vAlign w:val="bottom"/>
          </w:tcPr>
          <w:p w:rsidR="00707ED5" w:rsidRPr="00377D21" w:rsidRDefault="00707ED5" w:rsidP="001E0E99">
            <w:pPr>
              <w:spacing w:after="0" w:line="240" w:lineRule="auto"/>
              <w:jc w:val="center"/>
              <w:rPr>
                <w:rFonts w:ascii="Times New Roman" w:eastAsia="Times New Roman" w:hAnsi="Times New Roman" w:cs="Times New Roman"/>
                <w:lang w:eastAsia="en-CA"/>
              </w:rPr>
            </w:pPr>
            <w:r w:rsidRPr="00377D21">
              <w:rPr>
                <w:rFonts w:ascii="Times New Roman" w:eastAsia="Times New Roman" w:hAnsi="Times New Roman" w:cs="Times New Roman"/>
                <w:lang w:eastAsia="en-CA"/>
              </w:rPr>
              <w:t>-0.071</w:t>
            </w:r>
          </w:p>
        </w:tc>
        <w:tc>
          <w:tcPr>
            <w:tcW w:w="1409" w:type="dxa"/>
            <w:shd w:val="clear" w:color="auto" w:fill="auto"/>
            <w:vAlign w:val="bottom"/>
          </w:tcPr>
          <w:p w:rsidR="00707ED5" w:rsidRPr="00377D21" w:rsidRDefault="00707ED5" w:rsidP="001E0E99">
            <w:pPr>
              <w:spacing w:after="0" w:line="240" w:lineRule="auto"/>
              <w:jc w:val="center"/>
              <w:rPr>
                <w:rFonts w:ascii="Times New Roman" w:eastAsia="Times New Roman" w:hAnsi="Times New Roman" w:cs="Times New Roman"/>
                <w:lang w:eastAsia="en-CA"/>
              </w:rPr>
            </w:pPr>
            <w:r w:rsidRPr="00377D21">
              <w:rPr>
                <w:rFonts w:ascii="Times New Roman" w:eastAsia="Times New Roman" w:hAnsi="Times New Roman" w:cs="Times New Roman"/>
                <w:lang w:eastAsia="en-CA"/>
              </w:rPr>
              <w:t>-0.061</w:t>
            </w:r>
          </w:p>
        </w:tc>
      </w:tr>
      <w:tr w:rsidR="00707ED5" w:rsidRPr="00377D21" w:rsidTr="001E0E99">
        <w:trPr>
          <w:trHeight w:val="118"/>
        </w:trPr>
        <w:tc>
          <w:tcPr>
            <w:tcW w:w="1913" w:type="dxa"/>
            <w:shd w:val="clear" w:color="auto" w:fill="auto"/>
            <w:noWrap/>
            <w:vAlign w:val="bottom"/>
          </w:tcPr>
          <w:p w:rsidR="00707ED5" w:rsidRPr="00377D21" w:rsidRDefault="00707ED5" w:rsidP="001E0E99">
            <w:pPr>
              <w:spacing w:after="0" w:line="240" w:lineRule="auto"/>
              <w:rPr>
                <w:rFonts w:ascii="Times New Roman" w:eastAsia="Times New Roman" w:hAnsi="Times New Roman" w:cs="Times New Roman"/>
                <w:b/>
                <w:sz w:val="20"/>
                <w:szCs w:val="20"/>
                <w:lang w:eastAsia="en-CA"/>
              </w:rPr>
            </w:pPr>
            <w:r w:rsidRPr="00377D21">
              <w:rPr>
                <w:rFonts w:ascii="Times New Roman" w:eastAsia="Times New Roman" w:hAnsi="Times New Roman" w:cs="Times New Roman"/>
                <w:b/>
                <w:sz w:val="20"/>
                <w:szCs w:val="20"/>
                <w:lang w:eastAsia="en-CA"/>
              </w:rPr>
              <w:t>parent</w:t>
            </w:r>
          </w:p>
        </w:tc>
        <w:tc>
          <w:tcPr>
            <w:tcW w:w="1520" w:type="dxa"/>
            <w:shd w:val="clear" w:color="auto" w:fill="auto"/>
            <w:noWrap/>
            <w:vAlign w:val="bottom"/>
          </w:tcPr>
          <w:p w:rsidR="00707ED5" w:rsidRPr="00377D21" w:rsidRDefault="00707ED5" w:rsidP="001E0E99">
            <w:pPr>
              <w:spacing w:after="0" w:line="240" w:lineRule="auto"/>
              <w:rPr>
                <w:rFonts w:ascii="Times New Roman" w:eastAsia="Times New Roman" w:hAnsi="Times New Roman" w:cs="Times New Roman"/>
                <w:lang w:eastAsia="en-CA"/>
              </w:rPr>
            </w:pPr>
          </w:p>
        </w:tc>
        <w:tc>
          <w:tcPr>
            <w:tcW w:w="1526" w:type="dxa"/>
            <w:shd w:val="clear" w:color="auto" w:fill="auto"/>
            <w:noWrap/>
            <w:vAlign w:val="bottom"/>
          </w:tcPr>
          <w:p w:rsidR="00707ED5" w:rsidRPr="00377D21" w:rsidRDefault="00707ED5" w:rsidP="001E0E99">
            <w:pPr>
              <w:spacing w:after="0" w:line="240" w:lineRule="auto"/>
              <w:rPr>
                <w:rFonts w:ascii="Times New Roman" w:eastAsia="Times New Roman" w:hAnsi="Times New Roman" w:cs="Times New Roman"/>
                <w:lang w:eastAsia="en-CA"/>
              </w:rPr>
            </w:pPr>
          </w:p>
        </w:tc>
        <w:tc>
          <w:tcPr>
            <w:tcW w:w="1780" w:type="dxa"/>
            <w:shd w:val="clear" w:color="auto" w:fill="auto"/>
            <w:noWrap/>
            <w:vAlign w:val="bottom"/>
          </w:tcPr>
          <w:p w:rsidR="00707ED5" w:rsidRPr="00377D21" w:rsidRDefault="00707ED5" w:rsidP="001E0E99">
            <w:pPr>
              <w:spacing w:after="0" w:line="240" w:lineRule="auto"/>
              <w:rPr>
                <w:rFonts w:ascii="Times New Roman" w:eastAsia="Times New Roman" w:hAnsi="Times New Roman" w:cs="Times New Roman"/>
                <w:lang w:eastAsia="en-CA"/>
              </w:rPr>
            </w:pPr>
          </w:p>
        </w:tc>
        <w:tc>
          <w:tcPr>
            <w:tcW w:w="1653" w:type="dxa"/>
            <w:shd w:val="clear" w:color="auto" w:fill="auto"/>
            <w:noWrap/>
            <w:vAlign w:val="bottom"/>
          </w:tcPr>
          <w:p w:rsidR="00707ED5" w:rsidRPr="00377D21" w:rsidRDefault="00707ED5" w:rsidP="001E0E99">
            <w:pPr>
              <w:spacing w:after="0" w:line="240" w:lineRule="auto"/>
              <w:jc w:val="center"/>
              <w:rPr>
                <w:rFonts w:ascii="Times New Roman" w:eastAsia="Times New Roman" w:hAnsi="Times New Roman" w:cs="Times New Roman"/>
                <w:lang w:eastAsia="en-CA"/>
              </w:rPr>
            </w:pPr>
            <w:r w:rsidRPr="00377D21">
              <w:rPr>
                <w:rFonts w:ascii="Times New Roman" w:eastAsia="Times New Roman" w:hAnsi="Times New Roman" w:cs="Times New Roman"/>
                <w:lang w:eastAsia="en-CA"/>
              </w:rPr>
              <w:t>(0.018)**</w:t>
            </w:r>
          </w:p>
        </w:tc>
        <w:tc>
          <w:tcPr>
            <w:tcW w:w="1409" w:type="dxa"/>
            <w:shd w:val="clear" w:color="auto" w:fill="auto"/>
            <w:vAlign w:val="bottom"/>
          </w:tcPr>
          <w:p w:rsidR="00707ED5" w:rsidRPr="00377D21" w:rsidRDefault="00707ED5" w:rsidP="001E0E99">
            <w:pPr>
              <w:spacing w:after="0" w:line="240" w:lineRule="auto"/>
              <w:jc w:val="center"/>
              <w:rPr>
                <w:rFonts w:ascii="Times New Roman" w:eastAsia="Times New Roman" w:hAnsi="Times New Roman" w:cs="Times New Roman"/>
                <w:lang w:eastAsia="en-CA"/>
              </w:rPr>
            </w:pPr>
            <w:r w:rsidRPr="00377D21">
              <w:rPr>
                <w:rFonts w:ascii="Times New Roman" w:eastAsia="Times New Roman" w:hAnsi="Times New Roman" w:cs="Times New Roman"/>
                <w:lang w:eastAsia="en-CA"/>
              </w:rPr>
              <w:t>(0.019)**</w:t>
            </w:r>
          </w:p>
        </w:tc>
      </w:tr>
      <w:tr w:rsidR="00707ED5" w:rsidRPr="001D01F6" w:rsidTr="001E0E99">
        <w:trPr>
          <w:trHeight w:val="376"/>
        </w:trPr>
        <w:tc>
          <w:tcPr>
            <w:tcW w:w="1913" w:type="dxa"/>
            <w:shd w:val="clear" w:color="auto" w:fill="auto"/>
            <w:noWrap/>
            <w:vAlign w:val="bottom"/>
          </w:tcPr>
          <w:p w:rsidR="00707ED5" w:rsidRPr="00D44CC7" w:rsidRDefault="00707ED5" w:rsidP="001E0E99">
            <w:pPr>
              <w:spacing w:after="0" w:line="240" w:lineRule="auto"/>
              <w:rPr>
                <w:rFonts w:ascii="Times New Roman" w:eastAsia="Times New Roman" w:hAnsi="Times New Roman" w:cs="Times New Roman"/>
                <w:b/>
                <w:color w:val="000000"/>
                <w:sz w:val="20"/>
                <w:szCs w:val="20"/>
                <w:lang w:eastAsia="en-CA"/>
              </w:rPr>
            </w:pPr>
            <w:r w:rsidRPr="00D44CC7">
              <w:rPr>
                <w:rFonts w:ascii="Times New Roman" w:eastAsia="Times New Roman" w:hAnsi="Times New Roman" w:cs="Times New Roman"/>
                <w:b/>
                <w:color w:val="000000"/>
                <w:sz w:val="20"/>
                <w:szCs w:val="20"/>
                <w:lang w:eastAsia="en-CA"/>
              </w:rPr>
              <w:t xml:space="preserve">Immigrant </w:t>
            </w:r>
          </w:p>
        </w:tc>
        <w:tc>
          <w:tcPr>
            <w:tcW w:w="1520" w:type="dxa"/>
            <w:shd w:val="clear" w:color="auto" w:fill="auto"/>
            <w:noWrap/>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526" w:type="dxa"/>
            <w:shd w:val="clear" w:color="auto" w:fill="auto"/>
            <w:noWrap/>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780" w:type="dxa"/>
            <w:shd w:val="clear" w:color="auto" w:fill="auto"/>
            <w:noWrap/>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653" w:type="dxa"/>
            <w:shd w:val="clear" w:color="auto" w:fill="auto"/>
            <w:noWrap/>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0.126</w:t>
            </w:r>
            <w:r>
              <w:rPr>
                <w:rFonts w:ascii="Times New Roman" w:eastAsia="Times New Roman" w:hAnsi="Times New Roman" w:cs="Times New Roman"/>
                <w:color w:val="000000"/>
                <w:lang w:eastAsia="en-CA"/>
              </w:rPr>
              <w:t>**</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0.102</w:t>
            </w:r>
            <w:r w:rsidRPr="001D01F6">
              <w:rPr>
                <w:rFonts w:ascii="Times New Roman" w:eastAsia="Times New Roman" w:hAnsi="Times New Roman" w:cs="Times New Roman"/>
                <w:color w:val="000000"/>
                <w:lang w:eastAsia="en-CA"/>
              </w:rPr>
              <w:t>**</w:t>
            </w:r>
          </w:p>
        </w:tc>
      </w:tr>
      <w:tr w:rsidR="00707ED5" w:rsidRPr="001D01F6" w:rsidTr="001E0E99">
        <w:trPr>
          <w:trHeight w:val="173"/>
        </w:trPr>
        <w:tc>
          <w:tcPr>
            <w:tcW w:w="1913" w:type="dxa"/>
            <w:shd w:val="clear" w:color="auto" w:fill="auto"/>
            <w:noWrap/>
            <w:vAlign w:val="bottom"/>
          </w:tcPr>
          <w:p w:rsidR="00707ED5" w:rsidRPr="00D44CC7" w:rsidRDefault="00707ED5" w:rsidP="001E0E99">
            <w:pPr>
              <w:spacing w:after="0" w:line="240" w:lineRule="auto"/>
              <w:jc w:val="center"/>
              <w:rPr>
                <w:rFonts w:ascii="Times New Roman" w:eastAsia="Times New Roman" w:hAnsi="Times New Roman" w:cs="Times New Roman"/>
                <w:b/>
                <w:color w:val="000000"/>
                <w:sz w:val="20"/>
                <w:szCs w:val="20"/>
                <w:lang w:eastAsia="en-CA"/>
              </w:rPr>
            </w:pPr>
          </w:p>
        </w:tc>
        <w:tc>
          <w:tcPr>
            <w:tcW w:w="1520" w:type="dxa"/>
            <w:shd w:val="clear" w:color="auto" w:fill="auto"/>
            <w:noWrap/>
            <w:vAlign w:val="bottom"/>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526" w:type="dxa"/>
            <w:shd w:val="clear" w:color="auto" w:fill="auto"/>
            <w:noWrap/>
            <w:vAlign w:val="bottom"/>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780" w:type="dxa"/>
            <w:shd w:val="clear" w:color="auto" w:fill="auto"/>
            <w:noWrap/>
            <w:vAlign w:val="bottom"/>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653" w:type="dxa"/>
            <w:shd w:val="clear" w:color="auto" w:fill="auto"/>
            <w:noWrap/>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(0.037)</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(0.046</w:t>
            </w:r>
            <w:r w:rsidRPr="001D01F6">
              <w:rPr>
                <w:rFonts w:ascii="Times New Roman" w:eastAsia="Times New Roman" w:hAnsi="Times New Roman" w:cs="Times New Roman"/>
                <w:color w:val="000000"/>
                <w:lang w:eastAsia="en-CA"/>
              </w:rPr>
              <w:t>)</w:t>
            </w:r>
          </w:p>
        </w:tc>
      </w:tr>
      <w:tr w:rsidR="00707ED5" w:rsidRPr="001D01F6" w:rsidTr="001E0E99">
        <w:trPr>
          <w:trHeight w:val="403"/>
        </w:trPr>
        <w:tc>
          <w:tcPr>
            <w:tcW w:w="1913" w:type="dxa"/>
            <w:shd w:val="clear" w:color="auto" w:fill="auto"/>
            <w:noWrap/>
            <w:vAlign w:val="bottom"/>
            <w:hideMark/>
          </w:tcPr>
          <w:p w:rsidR="00707ED5" w:rsidRPr="00D44CC7" w:rsidRDefault="00707ED5" w:rsidP="001E0E99">
            <w:pPr>
              <w:spacing w:after="0" w:line="240" w:lineRule="auto"/>
              <w:rPr>
                <w:rFonts w:ascii="Times New Roman" w:eastAsia="Times New Roman" w:hAnsi="Times New Roman" w:cs="Times New Roman"/>
                <w:b/>
                <w:color w:val="000000"/>
                <w:sz w:val="20"/>
                <w:szCs w:val="20"/>
                <w:lang w:eastAsia="en-CA"/>
              </w:rPr>
            </w:pPr>
            <w:r w:rsidRPr="00D44CC7">
              <w:rPr>
                <w:rFonts w:ascii="Times New Roman" w:eastAsia="Times New Roman" w:hAnsi="Times New Roman" w:cs="Times New Roman"/>
                <w:b/>
                <w:color w:val="000000"/>
                <w:sz w:val="20"/>
                <w:szCs w:val="20"/>
                <w:lang w:eastAsia="en-CA"/>
              </w:rPr>
              <w:t xml:space="preserve">Years since arrival </w:t>
            </w:r>
          </w:p>
        </w:tc>
        <w:tc>
          <w:tcPr>
            <w:tcW w:w="152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526"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780"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w:t>
            </w:r>
          </w:p>
        </w:tc>
        <w:tc>
          <w:tcPr>
            <w:tcW w:w="1653" w:type="dxa"/>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-0.003</w:t>
            </w:r>
          </w:p>
        </w:tc>
        <w:tc>
          <w:tcPr>
            <w:tcW w:w="1409" w:type="dxa"/>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-0.001</w:t>
            </w:r>
          </w:p>
        </w:tc>
      </w:tr>
      <w:tr w:rsidR="00707ED5" w:rsidRPr="001D01F6" w:rsidTr="001E0E99">
        <w:trPr>
          <w:trHeight w:val="173"/>
        </w:trPr>
        <w:tc>
          <w:tcPr>
            <w:tcW w:w="1913" w:type="dxa"/>
            <w:tcBorders>
              <w:bottom w:val="single" w:sz="4" w:space="0" w:color="auto"/>
            </w:tcBorders>
            <w:shd w:val="clear" w:color="auto" w:fill="auto"/>
            <w:noWrap/>
            <w:vAlign w:val="bottom"/>
            <w:hideMark/>
          </w:tcPr>
          <w:p w:rsidR="00707ED5" w:rsidRPr="00D44CC7" w:rsidRDefault="00707ED5" w:rsidP="001E0E99">
            <w:pPr>
              <w:spacing w:after="0" w:line="240" w:lineRule="auto"/>
              <w:jc w:val="center"/>
              <w:rPr>
                <w:rFonts w:ascii="Times New Roman" w:eastAsia="Times New Roman" w:hAnsi="Times New Roman" w:cs="Times New Roman"/>
                <w:color w:val="000000"/>
                <w:sz w:val="20"/>
                <w:szCs w:val="20"/>
                <w:lang w:eastAsia="en-CA"/>
              </w:rPr>
            </w:pPr>
          </w:p>
        </w:tc>
        <w:tc>
          <w:tcPr>
            <w:tcW w:w="1520" w:type="dxa"/>
            <w:tcBorders>
              <w:bottom w:val="single" w:sz="4" w:space="0" w:color="auto"/>
            </w:tcBorders>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526" w:type="dxa"/>
            <w:tcBorders>
              <w:bottom w:val="single" w:sz="4" w:space="0" w:color="auto"/>
            </w:tcBorders>
            <w:shd w:val="clear" w:color="auto" w:fill="auto"/>
            <w:noWrap/>
            <w:vAlign w:val="bottom"/>
            <w:hideMark/>
          </w:tcPr>
          <w:p w:rsidR="00707ED5" w:rsidRPr="001D01F6" w:rsidRDefault="00707ED5" w:rsidP="001E0E99">
            <w:pPr>
              <w:spacing w:after="0" w:line="240" w:lineRule="auto"/>
              <w:rPr>
                <w:rFonts w:ascii="Times New Roman" w:eastAsia="Times New Roman" w:hAnsi="Times New Roman" w:cs="Times New Roman"/>
                <w:lang w:eastAsia="en-CA"/>
              </w:rPr>
            </w:pPr>
          </w:p>
        </w:tc>
        <w:tc>
          <w:tcPr>
            <w:tcW w:w="1780" w:type="dxa"/>
            <w:tcBorders>
              <w:bottom w:val="single" w:sz="4" w:space="0" w:color="auto"/>
            </w:tcBorders>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lang w:eastAsia="en-CA"/>
              </w:rPr>
            </w:pPr>
          </w:p>
        </w:tc>
        <w:tc>
          <w:tcPr>
            <w:tcW w:w="1653" w:type="dxa"/>
            <w:tcBorders>
              <w:bottom w:val="single" w:sz="4" w:space="0" w:color="auto"/>
            </w:tcBorders>
            <w:shd w:val="clear" w:color="auto" w:fill="auto"/>
            <w:noWrap/>
            <w:vAlign w:val="bottom"/>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(0.001)</w:t>
            </w:r>
            <w:r>
              <w:rPr>
                <w:rFonts w:ascii="Times New Roman" w:eastAsia="Times New Roman" w:hAnsi="Times New Roman" w:cs="Times New Roman"/>
                <w:color w:val="000000"/>
                <w:lang w:eastAsia="en-CA"/>
              </w:rPr>
              <w:t>**</w:t>
            </w:r>
          </w:p>
        </w:tc>
        <w:tc>
          <w:tcPr>
            <w:tcW w:w="1409" w:type="dxa"/>
            <w:tcBorders>
              <w:bottom w:val="single" w:sz="4" w:space="0" w:color="auto"/>
            </w:tcBorders>
            <w:shd w:val="clear" w:color="auto" w:fill="auto"/>
            <w:vAlign w:val="bottom"/>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-0.000</w:t>
            </w:r>
          </w:p>
        </w:tc>
      </w:tr>
      <w:tr w:rsidR="00707ED5" w:rsidRPr="001D01F6" w:rsidTr="001E0E99">
        <w:trPr>
          <w:trHeight w:val="294"/>
        </w:trPr>
        <w:tc>
          <w:tcPr>
            <w:tcW w:w="1913" w:type="dxa"/>
            <w:tcBorders>
              <w:top w:val="single" w:sz="4" w:space="0" w:color="auto"/>
              <w:bottom w:val="single" w:sz="4" w:space="0" w:color="auto"/>
            </w:tcBorders>
            <w:shd w:val="clear" w:color="auto" w:fill="auto"/>
            <w:noWrap/>
            <w:vAlign w:val="center"/>
            <w:hideMark/>
          </w:tcPr>
          <w:p w:rsidR="00707ED5" w:rsidRPr="00D44CC7" w:rsidRDefault="00707ED5" w:rsidP="001E0E99">
            <w:pPr>
              <w:spacing w:after="0" w:line="240" w:lineRule="auto"/>
              <w:rPr>
                <w:rFonts w:ascii="Times New Roman" w:eastAsia="Times New Roman" w:hAnsi="Times New Roman" w:cs="Times New Roman"/>
                <w:b/>
                <w:color w:val="000000"/>
                <w:lang w:eastAsia="en-CA"/>
              </w:rPr>
            </w:pPr>
            <w:r w:rsidRPr="00D44CC7">
              <w:rPr>
                <w:rFonts w:ascii="Times New Roman" w:eastAsia="Times New Roman" w:hAnsi="Times New Roman" w:cs="Times New Roman"/>
                <w:b/>
                <w:color w:val="000000"/>
                <w:lang w:eastAsia="en-CA"/>
              </w:rPr>
              <w:t>Observations</w:t>
            </w:r>
          </w:p>
        </w:tc>
        <w:tc>
          <w:tcPr>
            <w:tcW w:w="1520"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6,228</w:t>
            </w:r>
          </w:p>
        </w:tc>
        <w:tc>
          <w:tcPr>
            <w:tcW w:w="1526"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6,203</w:t>
            </w:r>
          </w:p>
        </w:tc>
        <w:tc>
          <w:tcPr>
            <w:tcW w:w="1780"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6,074</w:t>
            </w:r>
          </w:p>
        </w:tc>
        <w:tc>
          <w:tcPr>
            <w:tcW w:w="1653" w:type="dxa"/>
            <w:tcBorders>
              <w:top w:val="single" w:sz="4" w:space="0" w:color="auto"/>
              <w:bottom w:val="single" w:sz="4" w:space="0" w:color="auto"/>
            </w:tcBorders>
            <w:shd w:val="clear" w:color="auto" w:fill="auto"/>
            <w:noWrap/>
            <w:vAlign w:val="center"/>
            <w:hideMark/>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sidRPr="001D01F6">
              <w:rPr>
                <w:rFonts w:ascii="Times New Roman" w:eastAsia="Times New Roman" w:hAnsi="Times New Roman" w:cs="Times New Roman"/>
                <w:color w:val="000000"/>
                <w:lang w:eastAsia="en-CA"/>
              </w:rPr>
              <w:t>6,024</w:t>
            </w:r>
          </w:p>
        </w:tc>
        <w:tc>
          <w:tcPr>
            <w:tcW w:w="1409" w:type="dxa"/>
            <w:tcBorders>
              <w:top w:val="single" w:sz="4" w:space="0" w:color="auto"/>
              <w:bottom w:val="single" w:sz="4" w:space="0" w:color="auto"/>
            </w:tcBorders>
            <w:shd w:val="clear" w:color="auto" w:fill="auto"/>
            <w:vAlign w:val="center"/>
          </w:tcPr>
          <w:p w:rsidR="00707ED5" w:rsidRPr="001D01F6" w:rsidRDefault="00707ED5" w:rsidP="001E0E9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4,298</w:t>
            </w:r>
          </w:p>
        </w:tc>
      </w:tr>
      <w:tr w:rsidR="00707ED5" w:rsidRPr="004D64DC" w:rsidTr="001E0E99">
        <w:trPr>
          <w:trHeight w:val="990"/>
        </w:trPr>
        <w:tc>
          <w:tcPr>
            <w:tcW w:w="9802" w:type="dxa"/>
            <w:gridSpan w:val="6"/>
            <w:tcBorders>
              <w:top w:val="single" w:sz="4" w:space="0" w:color="auto"/>
            </w:tcBorders>
            <w:shd w:val="clear" w:color="auto" w:fill="auto"/>
            <w:noWrap/>
            <w:vAlign w:val="center"/>
            <w:hideMark/>
          </w:tcPr>
          <w:p w:rsidR="00707ED5" w:rsidRPr="00153D98" w:rsidRDefault="00707ED5" w:rsidP="001E0E99">
            <w:pPr>
              <w:spacing w:after="0" w:line="240" w:lineRule="auto"/>
              <w:jc w:val="both"/>
              <w:rPr>
                <w:rFonts w:ascii="Times New Roman" w:eastAsia="Times New Roman" w:hAnsi="Times New Roman" w:cs="Times New Roman"/>
                <w:b/>
                <w:i/>
                <w:color w:val="000000"/>
                <w:sz w:val="20"/>
                <w:szCs w:val="20"/>
                <w:lang w:eastAsia="en-CA"/>
              </w:rPr>
            </w:pPr>
            <w:r w:rsidRPr="00153D98">
              <w:rPr>
                <w:rFonts w:ascii="Times New Roman" w:eastAsia="Times New Roman" w:hAnsi="Times New Roman" w:cs="Times New Roman"/>
                <w:b/>
                <w:i/>
                <w:color w:val="000000"/>
                <w:sz w:val="18"/>
                <w:szCs w:val="20"/>
                <w:lang w:eastAsia="en-CA"/>
              </w:rPr>
              <w:t>Note:</w:t>
            </w:r>
            <w:r w:rsidRPr="00153D98">
              <w:rPr>
                <w:rFonts w:ascii="Times New Roman" w:eastAsia="Times New Roman" w:hAnsi="Times New Roman" w:cs="Times New Roman"/>
                <w:i/>
                <w:color w:val="000000"/>
                <w:sz w:val="18"/>
                <w:szCs w:val="20"/>
                <w:lang w:eastAsia="en-CA"/>
              </w:rPr>
              <w:t xml:space="preserve"> Legend: Robust standard errors in parentheses; * Significant at 10%; ** significant at 5%. Suppressed controls in Column (2): Age, Age-squared; Marital Status, Household size, Number of Children; In Column (3): Work experience and its squared form; years of education; parents’ education, public servant; unionized worker; health occupation; part-time period; Column (4): Francophone; Allophone; Visible Minority; Foreign-born parents; Column (5): Natural logarithm of income.</w:t>
            </w:r>
          </w:p>
        </w:tc>
      </w:tr>
    </w:tbl>
    <w:p w:rsidR="00BC5D4F" w:rsidRPr="002F4250" w:rsidRDefault="00707ED5" w:rsidP="00B9029E">
      <w:pPr>
        <w:spacing w:after="0" w:line="480" w:lineRule="auto"/>
        <w:ind w:firstLine="720"/>
        <w:jc w:val="both"/>
        <w:rPr>
          <w:rFonts w:ascii="Times New Roman" w:hAnsi="Times New Roman" w:cs="Times New Roman"/>
        </w:rPr>
      </w:pPr>
      <w:r>
        <w:rPr>
          <w:rFonts w:ascii="Times New Roman" w:hAnsi="Times New Roman" w:cs="Times New Roman"/>
        </w:rPr>
        <w:lastRenderedPageBreak/>
        <w:br/>
      </w:r>
      <w:r w:rsidR="00324241" w:rsidRPr="002F4250">
        <w:rPr>
          <w:rFonts w:ascii="Times New Roman" w:hAnsi="Times New Roman" w:cs="Times New Roman"/>
        </w:rPr>
        <w:t xml:space="preserve">According to </w:t>
      </w:r>
      <w:r w:rsidR="00E76D46" w:rsidRPr="002F4250">
        <w:rPr>
          <w:rFonts w:ascii="Times New Roman" w:hAnsi="Times New Roman" w:cs="Times New Roman"/>
        </w:rPr>
        <w:t xml:space="preserve">the estimates reported in </w:t>
      </w:r>
      <w:r w:rsidR="00324241" w:rsidRPr="002F4250">
        <w:rPr>
          <w:rFonts w:ascii="Times New Roman" w:hAnsi="Times New Roman" w:cs="Times New Roman"/>
        </w:rPr>
        <w:t>Column</w:t>
      </w:r>
      <w:r w:rsidR="00923AD7" w:rsidRPr="002F4250">
        <w:rPr>
          <w:rFonts w:ascii="Times New Roman" w:hAnsi="Times New Roman" w:cs="Times New Roman"/>
        </w:rPr>
        <w:t xml:space="preserve"> (5</w:t>
      </w:r>
      <w:r w:rsidR="00324241" w:rsidRPr="002F4250">
        <w:rPr>
          <w:rFonts w:ascii="Times New Roman" w:hAnsi="Times New Roman" w:cs="Times New Roman"/>
        </w:rPr>
        <w:t>)</w:t>
      </w:r>
      <w:r w:rsidR="00E76D46" w:rsidRPr="002F4250">
        <w:rPr>
          <w:rFonts w:ascii="Times New Roman" w:hAnsi="Times New Roman" w:cs="Times New Roman"/>
        </w:rPr>
        <w:t>,</w:t>
      </w:r>
      <w:r w:rsidR="00324241" w:rsidRPr="002F4250">
        <w:rPr>
          <w:rFonts w:ascii="Times New Roman" w:hAnsi="Times New Roman" w:cs="Times New Roman"/>
        </w:rPr>
        <w:t xml:space="preserve"> which </w:t>
      </w:r>
      <w:r w:rsidR="00E76D46" w:rsidRPr="002F4250">
        <w:rPr>
          <w:rFonts w:ascii="Times New Roman" w:hAnsi="Times New Roman" w:cs="Times New Roman"/>
        </w:rPr>
        <w:t xml:space="preserve">includes </w:t>
      </w:r>
      <w:r w:rsidR="00324241" w:rsidRPr="002F4250">
        <w:rPr>
          <w:rFonts w:ascii="Times New Roman" w:hAnsi="Times New Roman" w:cs="Times New Roman"/>
        </w:rPr>
        <w:t xml:space="preserve">all the controls, </w:t>
      </w:r>
      <w:r w:rsidR="00DF5D30" w:rsidRPr="002F4250">
        <w:rPr>
          <w:rFonts w:ascii="Times New Roman" w:hAnsi="Times New Roman" w:cs="Times New Roman"/>
        </w:rPr>
        <w:t>two Atla</w:t>
      </w:r>
      <w:r w:rsidR="00E76D46" w:rsidRPr="002F4250">
        <w:rPr>
          <w:rFonts w:ascii="Times New Roman" w:hAnsi="Times New Roman" w:cs="Times New Roman"/>
        </w:rPr>
        <w:t xml:space="preserve">ntic Region provinces stand out. </w:t>
      </w:r>
      <w:r w:rsidR="008303C1" w:rsidRPr="002F4250">
        <w:rPr>
          <w:rFonts w:ascii="Times New Roman" w:hAnsi="Times New Roman" w:cs="Times New Roman"/>
        </w:rPr>
        <w:t>Newfoundland and Labrador</w:t>
      </w:r>
      <w:r w:rsidR="00DF5D30" w:rsidRPr="002F4250">
        <w:rPr>
          <w:rFonts w:ascii="Times New Roman" w:hAnsi="Times New Roman" w:cs="Times New Roman"/>
        </w:rPr>
        <w:t xml:space="preserve"> </w:t>
      </w:r>
      <w:r w:rsidR="00E76D46" w:rsidRPr="002F4250">
        <w:rPr>
          <w:rFonts w:ascii="Times New Roman" w:hAnsi="Times New Roman" w:cs="Times New Roman"/>
        </w:rPr>
        <w:t xml:space="preserve">is the only province with a </w:t>
      </w:r>
      <w:r w:rsidR="00DF5D30" w:rsidRPr="002F4250">
        <w:rPr>
          <w:rFonts w:ascii="Times New Roman" w:hAnsi="Times New Roman" w:cs="Times New Roman"/>
        </w:rPr>
        <w:t>statistically significant and negative coefficient</w:t>
      </w:r>
      <w:r w:rsidR="00E76D46" w:rsidRPr="002F4250">
        <w:rPr>
          <w:rFonts w:ascii="Times New Roman" w:hAnsi="Times New Roman" w:cs="Times New Roman"/>
        </w:rPr>
        <w:t>, implying a lower likelihood of financial vulnerability compared to Ontario</w:t>
      </w:r>
      <w:r w:rsidR="003921CB" w:rsidRPr="002F4250">
        <w:rPr>
          <w:rFonts w:ascii="Times New Roman" w:hAnsi="Times New Roman" w:cs="Times New Roman"/>
        </w:rPr>
        <w:t>, all else held constant</w:t>
      </w:r>
      <w:r w:rsidR="00E76D46" w:rsidRPr="002F4250">
        <w:rPr>
          <w:rFonts w:ascii="Times New Roman" w:hAnsi="Times New Roman" w:cs="Times New Roman"/>
        </w:rPr>
        <w:t xml:space="preserve">. On the other hand, </w:t>
      </w:r>
      <w:r w:rsidR="00DF5D30" w:rsidRPr="002F4250">
        <w:rPr>
          <w:rFonts w:ascii="Times New Roman" w:hAnsi="Times New Roman" w:cs="Times New Roman"/>
        </w:rPr>
        <w:t xml:space="preserve">Nova Scotia has </w:t>
      </w:r>
      <w:r w:rsidR="00E76D46" w:rsidRPr="002F4250">
        <w:rPr>
          <w:rFonts w:ascii="Times New Roman" w:hAnsi="Times New Roman" w:cs="Times New Roman"/>
        </w:rPr>
        <w:t xml:space="preserve">the only </w:t>
      </w:r>
      <w:r w:rsidR="00DF5D30" w:rsidRPr="002F4250">
        <w:rPr>
          <w:rFonts w:ascii="Times New Roman" w:hAnsi="Times New Roman" w:cs="Times New Roman"/>
        </w:rPr>
        <w:t xml:space="preserve">statistically significant </w:t>
      </w:r>
      <w:r w:rsidR="00E76D46" w:rsidRPr="002F4250">
        <w:rPr>
          <w:rFonts w:ascii="Times New Roman" w:hAnsi="Times New Roman" w:cs="Times New Roman"/>
        </w:rPr>
        <w:t>and positive coefficient. The regression reveals that individuals</w:t>
      </w:r>
      <w:r w:rsidR="00BC5D4F" w:rsidRPr="002F4250">
        <w:rPr>
          <w:rFonts w:ascii="Times New Roman" w:hAnsi="Times New Roman" w:cs="Times New Roman"/>
        </w:rPr>
        <w:t xml:space="preserve"> residing in </w:t>
      </w:r>
      <w:r w:rsidR="008303C1" w:rsidRPr="002F4250">
        <w:rPr>
          <w:rFonts w:ascii="Times New Roman" w:hAnsi="Times New Roman" w:cs="Times New Roman"/>
        </w:rPr>
        <w:t>Newfoundland and Labrador</w:t>
      </w:r>
      <w:r w:rsidR="00DF5D30" w:rsidRPr="002F4250">
        <w:rPr>
          <w:rFonts w:ascii="Times New Roman" w:hAnsi="Times New Roman" w:cs="Times New Roman"/>
        </w:rPr>
        <w:t xml:space="preserve"> are </w:t>
      </w:r>
      <w:r w:rsidR="00923AD7" w:rsidRPr="002F4250">
        <w:rPr>
          <w:rFonts w:ascii="Times New Roman" w:hAnsi="Times New Roman" w:cs="Times New Roman"/>
        </w:rPr>
        <w:t>9</w:t>
      </w:r>
      <w:r w:rsidR="00DF5D30" w:rsidRPr="002F4250">
        <w:rPr>
          <w:rFonts w:ascii="Times New Roman" w:hAnsi="Times New Roman" w:cs="Times New Roman"/>
        </w:rPr>
        <w:t>% less likely than comparable Ontarian</w:t>
      </w:r>
      <w:r w:rsidR="00E76D46" w:rsidRPr="002F4250">
        <w:rPr>
          <w:rFonts w:ascii="Times New Roman" w:hAnsi="Times New Roman" w:cs="Times New Roman"/>
        </w:rPr>
        <w:t xml:space="preserve">s to be financially vulnerable, while the </w:t>
      </w:r>
      <w:r w:rsidR="00DF5D30" w:rsidRPr="002F4250">
        <w:rPr>
          <w:rFonts w:ascii="Times New Roman" w:hAnsi="Times New Roman" w:cs="Times New Roman"/>
        </w:rPr>
        <w:t>residents of Nova Scotia</w:t>
      </w:r>
      <w:r w:rsidR="00923AD7" w:rsidRPr="002F4250">
        <w:rPr>
          <w:rFonts w:ascii="Times New Roman" w:hAnsi="Times New Roman" w:cs="Times New Roman"/>
        </w:rPr>
        <w:t xml:space="preserve"> are about 6</w:t>
      </w:r>
      <w:r w:rsidR="00DF5D30" w:rsidRPr="002F4250">
        <w:rPr>
          <w:rFonts w:ascii="Times New Roman" w:hAnsi="Times New Roman" w:cs="Times New Roman"/>
        </w:rPr>
        <w:t xml:space="preserve">% more likely to </w:t>
      </w:r>
      <w:r w:rsidR="00F37B06" w:rsidRPr="002F4250">
        <w:rPr>
          <w:rFonts w:ascii="Times New Roman" w:hAnsi="Times New Roman" w:cs="Times New Roman"/>
        </w:rPr>
        <w:t xml:space="preserve">experience the outcome, </w:t>
      </w:r>
      <w:r w:rsidR="00DF5D30" w:rsidRPr="002F4250">
        <w:rPr>
          <w:rFonts w:ascii="Times New Roman" w:hAnsi="Times New Roman" w:cs="Times New Roman"/>
        </w:rPr>
        <w:t>all else</w:t>
      </w:r>
      <w:r w:rsidR="00F37B06" w:rsidRPr="002F4250">
        <w:rPr>
          <w:rFonts w:ascii="Times New Roman" w:hAnsi="Times New Roman" w:cs="Times New Roman"/>
        </w:rPr>
        <w:t>, including income,</w:t>
      </w:r>
      <w:r w:rsidR="00DF5D30" w:rsidRPr="002F4250">
        <w:rPr>
          <w:rFonts w:ascii="Times New Roman" w:hAnsi="Times New Roman" w:cs="Times New Roman"/>
        </w:rPr>
        <w:t xml:space="preserve"> held constant. </w:t>
      </w:r>
    </w:p>
    <w:p w:rsidR="00B9029E" w:rsidRPr="002F4250" w:rsidRDefault="00496C1D" w:rsidP="00B9029E">
      <w:pPr>
        <w:spacing w:after="0" w:line="480" w:lineRule="auto"/>
        <w:ind w:firstLine="720"/>
        <w:jc w:val="both"/>
        <w:rPr>
          <w:rFonts w:ascii="Times New Roman" w:hAnsi="Times New Roman" w:cs="Times New Roman"/>
        </w:rPr>
      </w:pPr>
      <w:r w:rsidRPr="002F4250">
        <w:rPr>
          <w:rFonts w:ascii="Times New Roman" w:hAnsi="Times New Roman" w:cs="Times New Roman"/>
        </w:rPr>
        <w:t>Regarding the controls</w:t>
      </w:r>
      <w:r w:rsidR="00B9029E" w:rsidRPr="002F4250">
        <w:rPr>
          <w:rFonts w:ascii="Times New Roman" w:hAnsi="Times New Roman" w:cs="Times New Roman"/>
        </w:rPr>
        <w:t xml:space="preserve">, having a </w:t>
      </w:r>
      <w:r w:rsidR="00324241" w:rsidRPr="002F4250">
        <w:rPr>
          <w:rFonts w:ascii="Times New Roman" w:hAnsi="Times New Roman" w:cs="Times New Roman"/>
        </w:rPr>
        <w:t>university</w:t>
      </w:r>
      <w:r w:rsidR="00B9029E" w:rsidRPr="002F4250">
        <w:rPr>
          <w:rFonts w:ascii="Times New Roman" w:hAnsi="Times New Roman" w:cs="Times New Roman"/>
        </w:rPr>
        <w:t xml:space="preserve"> degree p</w:t>
      </w:r>
      <w:r w:rsidR="00923AD7" w:rsidRPr="002F4250">
        <w:rPr>
          <w:rFonts w:ascii="Times New Roman" w:hAnsi="Times New Roman" w:cs="Times New Roman"/>
        </w:rPr>
        <w:t>redicts 7%</w:t>
      </w:r>
      <w:r w:rsidR="00324241" w:rsidRPr="002F4250">
        <w:rPr>
          <w:rFonts w:ascii="Times New Roman" w:hAnsi="Times New Roman" w:cs="Times New Roman"/>
        </w:rPr>
        <w:t xml:space="preserve"> </w:t>
      </w:r>
      <w:r w:rsidR="00B9029E" w:rsidRPr="002F4250">
        <w:rPr>
          <w:rFonts w:ascii="Times New Roman" w:hAnsi="Times New Roman" w:cs="Times New Roman"/>
        </w:rPr>
        <w:t xml:space="preserve">lower likelihood </w:t>
      </w:r>
      <w:r w:rsidR="00324241" w:rsidRPr="002F4250">
        <w:rPr>
          <w:rFonts w:ascii="Times New Roman" w:hAnsi="Times New Roman" w:cs="Times New Roman"/>
        </w:rPr>
        <w:t>of financial vulnerability</w:t>
      </w:r>
      <w:r w:rsidR="00B9029E" w:rsidRPr="002F4250">
        <w:rPr>
          <w:rFonts w:ascii="Times New Roman" w:hAnsi="Times New Roman" w:cs="Times New Roman"/>
        </w:rPr>
        <w:t>. Number of times an individual has changed employer is a positi</w:t>
      </w:r>
      <w:r w:rsidR="00324241" w:rsidRPr="002F4250">
        <w:rPr>
          <w:rFonts w:ascii="Times New Roman" w:hAnsi="Times New Roman" w:cs="Times New Roman"/>
        </w:rPr>
        <w:t>ve predictor of financial vulnerability</w:t>
      </w:r>
      <w:r w:rsidR="00B9029E" w:rsidRPr="002F4250">
        <w:rPr>
          <w:rFonts w:ascii="Times New Roman" w:hAnsi="Times New Roman" w:cs="Times New Roman"/>
        </w:rPr>
        <w:t xml:space="preserve">. </w:t>
      </w:r>
      <w:r w:rsidR="008629BC" w:rsidRPr="002F4250">
        <w:rPr>
          <w:rFonts w:ascii="Times New Roman" w:hAnsi="Times New Roman" w:cs="Times New Roman"/>
        </w:rPr>
        <w:t xml:space="preserve">Being married and number of children are </w:t>
      </w:r>
      <w:r w:rsidR="00B9029E" w:rsidRPr="002F4250">
        <w:rPr>
          <w:rFonts w:ascii="Times New Roman" w:hAnsi="Times New Roman" w:cs="Times New Roman"/>
        </w:rPr>
        <w:t>positi</w:t>
      </w:r>
      <w:r w:rsidR="006B26F7" w:rsidRPr="002F4250">
        <w:rPr>
          <w:rFonts w:ascii="Times New Roman" w:hAnsi="Times New Roman" w:cs="Times New Roman"/>
        </w:rPr>
        <w:t>ve predictor</w:t>
      </w:r>
      <w:r w:rsidR="008629BC" w:rsidRPr="002F4250">
        <w:rPr>
          <w:rFonts w:ascii="Times New Roman" w:hAnsi="Times New Roman" w:cs="Times New Roman"/>
        </w:rPr>
        <w:t>s</w:t>
      </w:r>
      <w:r w:rsidR="006B26F7" w:rsidRPr="002F4250">
        <w:rPr>
          <w:rFonts w:ascii="Times New Roman" w:hAnsi="Times New Roman" w:cs="Times New Roman"/>
        </w:rPr>
        <w:t xml:space="preserve"> of financial vulnerability</w:t>
      </w:r>
      <w:r w:rsidR="00324241" w:rsidRPr="002F4250">
        <w:rPr>
          <w:rFonts w:ascii="Times New Roman" w:hAnsi="Times New Roman" w:cs="Times New Roman"/>
        </w:rPr>
        <w:t xml:space="preserve">. Immigrants are found </w:t>
      </w:r>
      <w:r w:rsidR="00923AD7" w:rsidRPr="002F4250">
        <w:rPr>
          <w:rFonts w:ascii="Times New Roman" w:hAnsi="Times New Roman" w:cs="Times New Roman"/>
        </w:rPr>
        <w:t>10</w:t>
      </w:r>
      <w:r w:rsidR="00324241" w:rsidRPr="002F4250">
        <w:rPr>
          <w:rFonts w:ascii="Times New Roman" w:hAnsi="Times New Roman" w:cs="Times New Roman"/>
        </w:rPr>
        <w:t xml:space="preserve">% more likely to be financially vulnerable. </w:t>
      </w:r>
      <w:r w:rsidR="00923AD7" w:rsidRPr="002F4250">
        <w:rPr>
          <w:rFonts w:ascii="Times New Roman" w:hAnsi="Times New Roman" w:cs="Times New Roman"/>
        </w:rPr>
        <w:t>The r</w:t>
      </w:r>
      <w:r w:rsidR="00E101BE" w:rsidRPr="002F4250">
        <w:rPr>
          <w:rFonts w:ascii="Times New Roman" w:hAnsi="Times New Roman" w:cs="Times New Roman"/>
        </w:rPr>
        <w:t>ate of convergence to the Canadian</w:t>
      </w:r>
      <w:r w:rsidR="00923AD7" w:rsidRPr="002F4250">
        <w:rPr>
          <w:rFonts w:ascii="Times New Roman" w:hAnsi="Times New Roman" w:cs="Times New Roman"/>
        </w:rPr>
        <w:t xml:space="preserve">-born, evident from the coefficient on “years since arrival,” appear to be slow. On </w:t>
      </w:r>
      <w:r w:rsidR="00324241" w:rsidRPr="002F4250">
        <w:rPr>
          <w:rFonts w:ascii="Times New Roman" w:hAnsi="Times New Roman" w:cs="Times New Roman"/>
        </w:rPr>
        <w:t>the other hand, having foreign</w:t>
      </w:r>
      <w:r w:rsidR="006B26F7" w:rsidRPr="002F4250">
        <w:rPr>
          <w:rFonts w:ascii="Times New Roman" w:hAnsi="Times New Roman" w:cs="Times New Roman"/>
        </w:rPr>
        <w:t>-</w:t>
      </w:r>
      <w:r w:rsidR="00324241" w:rsidRPr="002F4250">
        <w:rPr>
          <w:rFonts w:ascii="Times New Roman" w:hAnsi="Times New Roman" w:cs="Times New Roman"/>
        </w:rPr>
        <w:t>born parent</w:t>
      </w:r>
      <w:r w:rsidR="006B26F7" w:rsidRPr="002F4250">
        <w:rPr>
          <w:rFonts w:ascii="Times New Roman" w:hAnsi="Times New Roman" w:cs="Times New Roman"/>
        </w:rPr>
        <w:t>s</w:t>
      </w:r>
      <w:r w:rsidR="00324241" w:rsidRPr="002F4250">
        <w:rPr>
          <w:rFonts w:ascii="Times New Roman" w:hAnsi="Times New Roman" w:cs="Times New Roman"/>
        </w:rPr>
        <w:t xml:space="preserve">, being a </w:t>
      </w:r>
      <w:r w:rsidR="00B9029E" w:rsidRPr="002F4250">
        <w:rPr>
          <w:rFonts w:ascii="Times New Roman" w:hAnsi="Times New Roman" w:cs="Times New Roman"/>
        </w:rPr>
        <w:t xml:space="preserve">visible </w:t>
      </w:r>
      <w:r w:rsidR="00923AD7" w:rsidRPr="002F4250">
        <w:rPr>
          <w:rFonts w:ascii="Times New Roman" w:hAnsi="Times New Roman" w:cs="Times New Roman"/>
        </w:rPr>
        <w:t>minority,</w:t>
      </w:r>
      <w:r w:rsidR="00D240F8" w:rsidRPr="002F4250">
        <w:rPr>
          <w:rFonts w:ascii="Times New Roman" w:hAnsi="Times New Roman" w:cs="Times New Roman"/>
        </w:rPr>
        <w:t xml:space="preserve"> or being an A</w:t>
      </w:r>
      <w:r w:rsidR="00324241" w:rsidRPr="002F4250">
        <w:rPr>
          <w:rFonts w:ascii="Times New Roman" w:hAnsi="Times New Roman" w:cs="Times New Roman"/>
        </w:rPr>
        <w:t>llophone</w:t>
      </w:r>
      <w:r w:rsidR="0058355A" w:rsidRPr="002F4250">
        <w:rPr>
          <w:rFonts w:ascii="Times New Roman" w:hAnsi="Times New Roman" w:cs="Times New Roman"/>
        </w:rPr>
        <w:t xml:space="preserve"> (person whose mother tongue is neither English nor French)</w:t>
      </w:r>
      <w:r w:rsidR="006B26F7" w:rsidRPr="002F4250">
        <w:rPr>
          <w:rFonts w:ascii="Times New Roman" w:hAnsi="Times New Roman" w:cs="Times New Roman"/>
        </w:rPr>
        <w:t>,</w:t>
      </w:r>
      <w:r w:rsidR="00324241" w:rsidRPr="002F4250">
        <w:rPr>
          <w:rFonts w:ascii="Times New Roman" w:hAnsi="Times New Roman" w:cs="Times New Roman"/>
        </w:rPr>
        <w:t xml:space="preserve"> are not statistically significant</w:t>
      </w:r>
      <w:r w:rsidR="00B9029E" w:rsidRPr="002F4250">
        <w:rPr>
          <w:rFonts w:ascii="Times New Roman" w:hAnsi="Times New Roman" w:cs="Times New Roman"/>
        </w:rPr>
        <w:t xml:space="preserve"> predictors of </w:t>
      </w:r>
      <w:r w:rsidR="00324241" w:rsidRPr="002F4250">
        <w:rPr>
          <w:rFonts w:ascii="Times New Roman" w:hAnsi="Times New Roman" w:cs="Times New Roman"/>
        </w:rPr>
        <w:t>financial vulnerability</w:t>
      </w:r>
      <w:r w:rsidR="00B9029E" w:rsidRPr="002F4250">
        <w:rPr>
          <w:rFonts w:ascii="Times New Roman" w:hAnsi="Times New Roman" w:cs="Times New Roman"/>
        </w:rPr>
        <w:t xml:space="preserve">. Gender is also found not to be statistically significantly associated with the outcome. </w:t>
      </w:r>
      <w:r w:rsidR="006C65D9" w:rsidRPr="002F4250">
        <w:rPr>
          <w:rFonts w:ascii="Times New Roman" w:hAnsi="Times New Roman" w:cs="Times New Roman"/>
        </w:rPr>
        <w:t xml:space="preserve">As shown in Column (5), growing up in a single-parent household, </w:t>
      </w:r>
      <w:r w:rsidR="001E4252" w:rsidRPr="002F4250">
        <w:rPr>
          <w:rFonts w:ascii="Times New Roman" w:hAnsi="Times New Roman" w:cs="Times New Roman"/>
        </w:rPr>
        <w:t>remarkably</w:t>
      </w:r>
      <w:r w:rsidR="006C65D9" w:rsidRPr="002F4250">
        <w:rPr>
          <w:rFonts w:ascii="Times New Roman" w:hAnsi="Times New Roman" w:cs="Times New Roman"/>
        </w:rPr>
        <w:t xml:space="preserve">, predicts 7% higher likelihood of financial vulnerability, controlling for the respondents’ </w:t>
      </w:r>
      <w:r w:rsidR="008629BC" w:rsidRPr="002F4250">
        <w:rPr>
          <w:rFonts w:ascii="Times New Roman" w:hAnsi="Times New Roman" w:cs="Times New Roman"/>
        </w:rPr>
        <w:t xml:space="preserve">own </w:t>
      </w:r>
      <w:r w:rsidR="006C65D9" w:rsidRPr="002F4250">
        <w:rPr>
          <w:rFonts w:ascii="Times New Roman" w:hAnsi="Times New Roman" w:cs="Times New Roman"/>
        </w:rPr>
        <w:t>current characteristics, including income.</w:t>
      </w:r>
    </w:p>
    <w:p w:rsidR="006B26F7" w:rsidRPr="002F4250" w:rsidRDefault="006B26F7" w:rsidP="00B9029E">
      <w:pPr>
        <w:spacing w:after="0" w:line="480" w:lineRule="auto"/>
        <w:ind w:firstLine="720"/>
        <w:jc w:val="both"/>
        <w:rPr>
          <w:rFonts w:ascii="Times New Roman" w:hAnsi="Times New Roman" w:cs="Times New Roman"/>
        </w:rPr>
      </w:pPr>
      <w:r w:rsidRPr="002F4250">
        <w:rPr>
          <w:rFonts w:ascii="Times New Roman" w:hAnsi="Times New Roman" w:cs="Times New Roman"/>
        </w:rPr>
        <w:t xml:space="preserve">It is interesting that two Atlantic Region provinces are found </w:t>
      </w:r>
      <w:r w:rsidR="00F37B06" w:rsidRPr="002F4250">
        <w:rPr>
          <w:rFonts w:ascii="Times New Roman" w:hAnsi="Times New Roman" w:cs="Times New Roman"/>
        </w:rPr>
        <w:t xml:space="preserve">to </w:t>
      </w:r>
      <w:r w:rsidRPr="002F4250">
        <w:rPr>
          <w:rFonts w:ascii="Times New Roman" w:hAnsi="Times New Roman" w:cs="Times New Roman"/>
        </w:rPr>
        <w:t>have the highest and the lowest likelihood of financial vulnerability, among</w:t>
      </w:r>
      <w:r w:rsidR="00F37B06" w:rsidRPr="002F4250">
        <w:rPr>
          <w:rFonts w:ascii="Times New Roman" w:hAnsi="Times New Roman" w:cs="Times New Roman"/>
        </w:rPr>
        <w:t xml:space="preserve"> their residents between 25 and </w:t>
      </w:r>
      <w:r w:rsidRPr="002F4250">
        <w:rPr>
          <w:rFonts w:ascii="Times New Roman" w:hAnsi="Times New Roman" w:cs="Times New Roman"/>
        </w:rPr>
        <w:t xml:space="preserve">45 years of age. The results on </w:t>
      </w:r>
      <w:r w:rsidR="008303C1" w:rsidRPr="002F4250">
        <w:rPr>
          <w:rFonts w:ascii="Times New Roman" w:hAnsi="Times New Roman" w:cs="Times New Roman"/>
        </w:rPr>
        <w:t>Newfoundland and Labrador</w:t>
      </w:r>
      <w:r w:rsidRPr="002F4250">
        <w:rPr>
          <w:rFonts w:ascii="Times New Roman" w:hAnsi="Times New Roman" w:cs="Times New Roman"/>
        </w:rPr>
        <w:t xml:space="preserve"> is likely due to natural resource income. The financial vulnerability of Nova Scotia residents, on the other hand, is harder to explain, and a matter of concern. Atlantic Provinces as a whol</w:t>
      </w:r>
      <w:r w:rsidR="00F72FA3" w:rsidRPr="002F4250">
        <w:rPr>
          <w:rFonts w:ascii="Times New Roman" w:hAnsi="Times New Roman" w:cs="Times New Roman"/>
        </w:rPr>
        <w:t xml:space="preserve">e, </w:t>
      </w:r>
      <w:r w:rsidR="00F37B06" w:rsidRPr="002F4250">
        <w:rPr>
          <w:rFonts w:ascii="Times New Roman" w:hAnsi="Times New Roman" w:cs="Times New Roman"/>
        </w:rPr>
        <w:t>and especially Nova Scotia</w:t>
      </w:r>
      <w:r w:rsidR="00F72FA3" w:rsidRPr="002F4250">
        <w:rPr>
          <w:rFonts w:ascii="Times New Roman" w:hAnsi="Times New Roman" w:cs="Times New Roman"/>
        </w:rPr>
        <w:t>,</w:t>
      </w:r>
      <w:r w:rsidR="00F37B06" w:rsidRPr="002F4250">
        <w:rPr>
          <w:rFonts w:ascii="Times New Roman" w:hAnsi="Times New Roman" w:cs="Times New Roman"/>
        </w:rPr>
        <w:t xml:space="preserve"> have</w:t>
      </w:r>
      <w:r w:rsidRPr="002F4250">
        <w:rPr>
          <w:rFonts w:ascii="Times New Roman" w:hAnsi="Times New Roman" w:cs="Times New Roman"/>
        </w:rPr>
        <w:t xml:space="preserve"> been experiencing outmigration of their youth</w:t>
      </w:r>
      <w:r w:rsidR="00FC7B5F" w:rsidRPr="002F4250">
        <w:rPr>
          <w:rFonts w:ascii="Times New Roman" w:hAnsi="Times New Roman" w:cs="Times New Roman"/>
        </w:rPr>
        <w:t xml:space="preserve"> and incoming immigrants (Akbari, 2013)</w:t>
      </w:r>
      <w:r w:rsidRPr="002F4250">
        <w:rPr>
          <w:rFonts w:ascii="Times New Roman" w:hAnsi="Times New Roman" w:cs="Times New Roman"/>
        </w:rPr>
        <w:t xml:space="preserve">. </w:t>
      </w:r>
      <w:r w:rsidR="00BE1204" w:rsidRPr="002F4250">
        <w:rPr>
          <w:rFonts w:ascii="Times New Roman" w:hAnsi="Times New Roman" w:cs="Times New Roman"/>
        </w:rPr>
        <w:t>The</w:t>
      </w:r>
      <w:r w:rsidRPr="002F4250">
        <w:rPr>
          <w:rFonts w:ascii="Times New Roman" w:hAnsi="Times New Roman" w:cs="Times New Roman"/>
        </w:rPr>
        <w:t xml:space="preserve"> results</w:t>
      </w:r>
      <w:r w:rsidR="00BE1204" w:rsidRPr="002F4250">
        <w:rPr>
          <w:rFonts w:ascii="Times New Roman" w:hAnsi="Times New Roman" w:cs="Times New Roman"/>
        </w:rPr>
        <w:t xml:space="preserve"> reported here</w:t>
      </w:r>
      <w:r w:rsidRPr="002F4250">
        <w:rPr>
          <w:rFonts w:ascii="Times New Roman" w:hAnsi="Times New Roman" w:cs="Times New Roman"/>
        </w:rPr>
        <w:t>, indicating less than desirable economic condition</w:t>
      </w:r>
      <w:r w:rsidR="00BE1204" w:rsidRPr="002F4250">
        <w:rPr>
          <w:rFonts w:ascii="Times New Roman" w:hAnsi="Times New Roman" w:cs="Times New Roman"/>
        </w:rPr>
        <w:t>s</w:t>
      </w:r>
      <w:r w:rsidRPr="002F4250">
        <w:rPr>
          <w:rFonts w:ascii="Times New Roman" w:hAnsi="Times New Roman" w:cs="Times New Roman"/>
        </w:rPr>
        <w:t xml:space="preserve">, point to the possibility of further outmigration, and human resource gap in this province. </w:t>
      </w:r>
    </w:p>
    <w:p w:rsidR="00A87A4E" w:rsidRDefault="00A87A4E">
      <w:pPr>
        <w:rPr>
          <w:rFonts w:ascii="Times New Roman" w:hAnsi="Times New Roman" w:cs="Times New Roman"/>
          <w:b/>
          <w:sz w:val="28"/>
          <w:szCs w:val="28"/>
        </w:rPr>
      </w:pPr>
      <w:r>
        <w:rPr>
          <w:rFonts w:ascii="Times New Roman" w:hAnsi="Times New Roman" w:cs="Times New Roman"/>
          <w:b/>
          <w:sz w:val="28"/>
          <w:szCs w:val="28"/>
        </w:rPr>
        <w:br w:type="page"/>
      </w:r>
    </w:p>
    <w:p w:rsidR="00766924" w:rsidRPr="002F4250" w:rsidRDefault="00B717B7" w:rsidP="00934EF3">
      <w:pPr>
        <w:rPr>
          <w:rFonts w:ascii="Times New Roman" w:hAnsi="Times New Roman" w:cs="Times New Roman"/>
          <w:b/>
          <w:sz w:val="28"/>
          <w:szCs w:val="28"/>
        </w:rPr>
      </w:pPr>
      <w:r w:rsidRPr="002F4250">
        <w:rPr>
          <w:rFonts w:ascii="Times New Roman" w:hAnsi="Times New Roman" w:cs="Times New Roman"/>
          <w:b/>
          <w:sz w:val="28"/>
          <w:szCs w:val="28"/>
        </w:rPr>
        <w:lastRenderedPageBreak/>
        <w:t>References</w:t>
      </w:r>
    </w:p>
    <w:p w:rsidR="00FC7B5F" w:rsidRPr="002F4250" w:rsidRDefault="00FC7B5F" w:rsidP="00934EF3">
      <w:pPr>
        <w:spacing w:after="120" w:line="240" w:lineRule="auto"/>
        <w:ind w:left="720" w:hanging="720"/>
        <w:jc w:val="both"/>
        <w:rPr>
          <w:rFonts w:ascii="Times New Roman" w:hAnsi="Times New Roman" w:cs="Times New Roman"/>
        </w:rPr>
      </w:pPr>
      <w:r w:rsidRPr="002F4250">
        <w:rPr>
          <w:rFonts w:ascii="Times New Roman" w:hAnsi="Times New Roman" w:cs="Times New Roman"/>
        </w:rPr>
        <w:t xml:space="preserve">Akbari, A. (2013). </w:t>
      </w:r>
      <w:r w:rsidRPr="002F4250">
        <w:rPr>
          <w:rFonts w:ascii="Times New Roman" w:hAnsi="Times New Roman" w:cs="Times New Roman"/>
          <w:i/>
        </w:rPr>
        <w:t>Immigrants in regional labour markets of host nations: Some evidence from Atlantic Canada</w:t>
      </w:r>
      <w:r w:rsidRPr="002F4250">
        <w:rPr>
          <w:rFonts w:ascii="Times New Roman" w:hAnsi="Times New Roman" w:cs="Times New Roman"/>
        </w:rPr>
        <w:t>. Springer Science &amp; Business Media.</w:t>
      </w:r>
    </w:p>
    <w:p w:rsidR="00934EF3" w:rsidRPr="002F4250" w:rsidRDefault="00934EF3" w:rsidP="00934EF3">
      <w:pPr>
        <w:spacing w:after="120" w:line="240" w:lineRule="auto"/>
        <w:ind w:left="720" w:hanging="720"/>
        <w:jc w:val="both"/>
        <w:rPr>
          <w:rFonts w:ascii="Times New Roman" w:hAnsi="Times New Roman" w:cs="Times New Roman"/>
        </w:rPr>
      </w:pPr>
      <w:r w:rsidRPr="002F4250">
        <w:rPr>
          <w:rFonts w:ascii="Times New Roman" w:hAnsi="Times New Roman" w:cs="Times New Roman"/>
        </w:rPr>
        <w:t xml:space="preserve">Alexander, C. R., &amp; Jacobson, P. (2015). Mortgaged to the Hilt: Risks from the Distribution of Household Mortgage Debt. CD Howe Institute Commentary, </w:t>
      </w:r>
      <w:r w:rsidR="00724871" w:rsidRPr="002F4250">
        <w:rPr>
          <w:rFonts w:ascii="Times New Roman" w:hAnsi="Times New Roman" w:cs="Times New Roman"/>
        </w:rPr>
        <w:t xml:space="preserve">No. </w:t>
      </w:r>
      <w:r w:rsidRPr="002F4250">
        <w:rPr>
          <w:rFonts w:ascii="Times New Roman" w:hAnsi="Times New Roman" w:cs="Times New Roman"/>
        </w:rPr>
        <w:t>441.</w:t>
      </w:r>
      <w:r w:rsidR="00724871" w:rsidRPr="002F4250">
        <w:rPr>
          <w:rFonts w:ascii="Times New Roman" w:hAnsi="Times New Roman" w:cs="Times New Roman"/>
        </w:rPr>
        <w:t xml:space="preserve"> Available at: </w:t>
      </w:r>
      <w:hyperlink r:id="rId11" w:history="1">
        <w:r w:rsidR="00724871" w:rsidRPr="002F4250">
          <w:rPr>
            <w:rStyle w:val="Hyperlink"/>
            <w:rFonts w:ascii="Times New Roman" w:hAnsi="Times New Roman" w:cs="Times New Roman"/>
            <w:color w:val="auto"/>
          </w:rPr>
          <w:t>http://papers.ssrn.com/sol3/papers.cfm?abstract_id=2701923</w:t>
        </w:r>
      </w:hyperlink>
    </w:p>
    <w:p w:rsidR="00934EF3" w:rsidRPr="002F4250" w:rsidRDefault="00934EF3" w:rsidP="00934EF3">
      <w:pPr>
        <w:ind w:left="720" w:hanging="720"/>
        <w:rPr>
          <w:rFonts w:ascii="Times New Roman" w:hAnsi="Times New Roman" w:cs="Times New Roman"/>
        </w:rPr>
      </w:pPr>
      <w:r w:rsidRPr="002F4250">
        <w:rPr>
          <w:rFonts w:ascii="Times New Roman" w:hAnsi="Times New Roman" w:cs="Times New Roman"/>
        </w:rPr>
        <w:t xml:space="preserve">Chawla, R. K., &amp; </w:t>
      </w:r>
      <w:proofErr w:type="spellStart"/>
      <w:r w:rsidRPr="002F4250">
        <w:rPr>
          <w:rFonts w:ascii="Times New Roman" w:hAnsi="Times New Roman" w:cs="Times New Roman"/>
        </w:rPr>
        <w:t>Uppal</w:t>
      </w:r>
      <w:proofErr w:type="spellEnd"/>
      <w:r w:rsidRPr="002F4250">
        <w:rPr>
          <w:rFonts w:ascii="Times New Roman" w:hAnsi="Times New Roman" w:cs="Times New Roman"/>
        </w:rPr>
        <w:t xml:space="preserve">, S. (2012). Household debt in Canada. </w:t>
      </w:r>
      <w:r w:rsidRPr="002F4250">
        <w:rPr>
          <w:rFonts w:ascii="Times New Roman" w:hAnsi="Times New Roman" w:cs="Times New Roman"/>
          <w:i/>
        </w:rPr>
        <w:t>Perspecti</w:t>
      </w:r>
      <w:r w:rsidR="00724871" w:rsidRPr="002F4250">
        <w:rPr>
          <w:rFonts w:ascii="Times New Roman" w:hAnsi="Times New Roman" w:cs="Times New Roman"/>
          <w:i/>
        </w:rPr>
        <w:t>ves on labour and income</w:t>
      </w:r>
      <w:r w:rsidR="00724871" w:rsidRPr="002F4250">
        <w:rPr>
          <w:rFonts w:ascii="Times New Roman" w:hAnsi="Times New Roman" w:cs="Times New Roman"/>
        </w:rPr>
        <w:t>, 24(2):</w:t>
      </w:r>
      <w:r w:rsidRPr="002F4250">
        <w:rPr>
          <w:rFonts w:ascii="Times New Roman" w:hAnsi="Times New Roman" w:cs="Times New Roman"/>
        </w:rPr>
        <w:t xml:space="preserve"> 1</w:t>
      </w:r>
      <w:r w:rsidR="00724871" w:rsidRPr="002F4250">
        <w:rPr>
          <w:rFonts w:ascii="Times New Roman" w:hAnsi="Times New Roman" w:cs="Times New Roman"/>
        </w:rPr>
        <w:t>-15</w:t>
      </w:r>
      <w:r w:rsidRPr="002F4250">
        <w:rPr>
          <w:rFonts w:ascii="Times New Roman" w:hAnsi="Times New Roman" w:cs="Times New Roman"/>
        </w:rPr>
        <w:t xml:space="preserve">. </w:t>
      </w:r>
    </w:p>
    <w:p w:rsidR="003A600F" w:rsidRPr="002F4250" w:rsidRDefault="003A600F" w:rsidP="003423E7">
      <w:pPr>
        <w:ind w:left="720" w:hanging="720"/>
        <w:rPr>
          <w:rFonts w:ascii="Times New Roman" w:hAnsi="Times New Roman" w:cs="Times New Roman"/>
        </w:rPr>
      </w:pPr>
      <w:proofErr w:type="spellStart"/>
      <w:r w:rsidRPr="002F4250">
        <w:rPr>
          <w:rFonts w:ascii="Times New Roman" w:hAnsi="Times New Roman" w:cs="Times New Roman"/>
        </w:rPr>
        <w:t>Faruqui</w:t>
      </w:r>
      <w:proofErr w:type="spellEnd"/>
      <w:r w:rsidRPr="002F4250">
        <w:rPr>
          <w:rFonts w:ascii="Times New Roman" w:hAnsi="Times New Roman" w:cs="Times New Roman"/>
        </w:rPr>
        <w:t>, U. (2008). Indebtedness and the Household Financial Health: An Examination of the Canadian Debt Service Ratio Distribution (No. 2008, 46). Bank of Canada Working paper.</w:t>
      </w:r>
    </w:p>
    <w:p w:rsidR="003423E7" w:rsidRPr="002F4250" w:rsidRDefault="00B717B7" w:rsidP="003423E7">
      <w:pPr>
        <w:ind w:left="720" w:hanging="720"/>
        <w:rPr>
          <w:rFonts w:ascii="Times New Roman" w:hAnsi="Times New Roman" w:cs="Times New Roman"/>
        </w:rPr>
      </w:pPr>
      <w:r w:rsidRPr="002F4250">
        <w:rPr>
          <w:rFonts w:ascii="Times New Roman" w:hAnsi="Times New Roman" w:cs="Times New Roman"/>
        </w:rPr>
        <w:t xml:space="preserve">Macdonald, D. (2015). </w:t>
      </w:r>
      <w:r w:rsidR="00934EF3" w:rsidRPr="002F4250">
        <w:rPr>
          <w:rFonts w:ascii="Times New Roman" w:hAnsi="Times New Roman" w:cs="Times New Roman"/>
        </w:rPr>
        <w:t xml:space="preserve">The Young and the Leveraged: </w:t>
      </w:r>
      <w:r w:rsidRPr="002F4250">
        <w:rPr>
          <w:rFonts w:ascii="Times New Roman" w:hAnsi="Times New Roman" w:cs="Times New Roman"/>
        </w:rPr>
        <w:t>Assessing the Impact of a Housing Market Correction on Canada's Homeowners</w:t>
      </w:r>
      <w:r w:rsidR="00934EF3" w:rsidRPr="002F4250">
        <w:rPr>
          <w:rFonts w:ascii="Times New Roman" w:hAnsi="Times New Roman" w:cs="Times New Roman"/>
        </w:rPr>
        <w:t xml:space="preserve">, Canadian Centre for Policy Alternatives, Available at: </w:t>
      </w:r>
      <w:hyperlink r:id="rId12" w:history="1">
        <w:r w:rsidR="00934EF3" w:rsidRPr="002F4250">
          <w:rPr>
            <w:rStyle w:val="Hyperlink"/>
            <w:rFonts w:ascii="Times New Roman" w:hAnsi="Times New Roman" w:cs="Times New Roman"/>
            <w:color w:val="auto"/>
          </w:rPr>
          <w:t>https://www.policyalternatives.ca/publications/reports/young-and-leveraged</w:t>
        </w:r>
      </w:hyperlink>
    </w:p>
    <w:p w:rsidR="009F7BE4" w:rsidRPr="002F4250" w:rsidRDefault="009F7BE4" w:rsidP="003423E7">
      <w:pPr>
        <w:ind w:left="720" w:hanging="720"/>
        <w:rPr>
          <w:rFonts w:ascii="Times New Roman" w:hAnsi="Times New Roman" w:cs="Times New Roman"/>
        </w:rPr>
      </w:pPr>
      <w:r w:rsidRPr="002F4250">
        <w:rPr>
          <w:rFonts w:ascii="Times New Roman" w:hAnsi="Times New Roman" w:cs="Times New Roman"/>
        </w:rPr>
        <w:t xml:space="preserve">Walks, A. (2013). Mapping the urban </w:t>
      </w:r>
      <w:proofErr w:type="spellStart"/>
      <w:r w:rsidRPr="002F4250">
        <w:rPr>
          <w:rFonts w:ascii="Times New Roman" w:hAnsi="Times New Roman" w:cs="Times New Roman"/>
        </w:rPr>
        <w:t>debtscape</w:t>
      </w:r>
      <w:proofErr w:type="spellEnd"/>
      <w:r w:rsidRPr="002F4250">
        <w:rPr>
          <w:rFonts w:ascii="Times New Roman" w:hAnsi="Times New Roman" w:cs="Times New Roman"/>
        </w:rPr>
        <w:t xml:space="preserve">: The geography of household debt in Canadian cities. </w:t>
      </w:r>
      <w:r w:rsidRPr="002F4250">
        <w:rPr>
          <w:rFonts w:ascii="Times New Roman" w:hAnsi="Times New Roman" w:cs="Times New Roman"/>
          <w:i/>
        </w:rPr>
        <w:t>Urban Geography</w:t>
      </w:r>
      <w:r w:rsidRPr="002F4250">
        <w:rPr>
          <w:rFonts w:ascii="Times New Roman" w:hAnsi="Times New Roman" w:cs="Times New Roman"/>
        </w:rPr>
        <w:t>, 34(2), 153-187.</w:t>
      </w:r>
    </w:p>
    <w:p w:rsidR="00DB1CB5" w:rsidRDefault="003423E7" w:rsidP="00DC0BFA">
      <w:pPr>
        <w:ind w:left="720" w:hanging="720"/>
        <w:rPr>
          <w:rFonts w:ascii="Times New Roman" w:hAnsi="Times New Roman" w:cs="Times New Roman"/>
        </w:rPr>
      </w:pPr>
      <w:proofErr w:type="spellStart"/>
      <w:r w:rsidRPr="002F4250">
        <w:rPr>
          <w:rFonts w:ascii="Times New Roman" w:hAnsi="Times New Roman" w:cs="Times New Roman"/>
        </w:rPr>
        <w:t>Zmitrowicz</w:t>
      </w:r>
      <w:proofErr w:type="spellEnd"/>
      <w:r w:rsidRPr="002F4250">
        <w:rPr>
          <w:rFonts w:ascii="Times New Roman" w:hAnsi="Times New Roman" w:cs="Times New Roman"/>
        </w:rPr>
        <w:t xml:space="preserve">, K., &amp; Khan, M. (2014). Beyond the Unemployment Rate: Assessing Canadian and US Labour Markets Since the Great Recession. </w:t>
      </w:r>
      <w:r w:rsidRPr="002F4250">
        <w:rPr>
          <w:rFonts w:ascii="Times New Roman" w:hAnsi="Times New Roman" w:cs="Times New Roman"/>
          <w:i/>
        </w:rPr>
        <w:t>Bank of Canada Review</w:t>
      </w:r>
      <w:r w:rsidRPr="002F4250">
        <w:rPr>
          <w:rFonts w:ascii="Times New Roman" w:hAnsi="Times New Roman" w:cs="Times New Roman"/>
        </w:rPr>
        <w:t>, 42-53.</w:t>
      </w:r>
    </w:p>
    <w:p w:rsidR="00DC0BFA" w:rsidRDefault="00DC0BFA" w:rsidP="00DC0BFA">
      <w:pPr>
        <w:ind w:left="720" w:hanging="720"/>
        <w:rPr>
          <w:rFonts w:ascii="Times New Roman" w:hAnsi="Times New Roman" w:cs="Times New Roman"/>
        </w:rPr>
      </w:pPr>
    </w:p>
    <w:p w:rsidR="00DC0BFA" w:rsidRPr="00DB1CB5" w:rsidRDefault="00DC0BFA" w:rsidP="00DC0BFA">
      <w:pPr>
        <w:ind w:left="720" w:hanging="720"/>
        <w:rPr>
          <w:rFonts w:ascii="Times New Roman" w:hAnsi="Times New Roman" w:cs="Times New Roman"/>
        </w:rPr>
      </w:pPr>
    </w:p>
    <w:p w:rsidR="00DB1CB5" w:rsidRDefault="00DB1CB5" w:rsidP="00DC0BFA">
      <w:pPr>
        <w:tabs>
          <w:tab w:val="left" w:pos="8580"/>
        </w:tabs>
        <w:spacing w:line="240" w:lineRule="auto"/>
      </w:pPr>
    </w:p>
    <w:p w:rsidR="00DC0BFA" w:rsidRDefault="00DC0BFA" w:rsidP="00DC0BFA">
      <w:pPr>
        <w:tabs>
          <w:tab w:val="left" w:pos="8580"/>
        </w:tabs>
        <w:spacing w:line="240" w:lineRule="auto"/>
      </w:pPr>
    </w:p>
    <w:p w:rsidR="00DC0BFA" w:rsidRDefault="00DC0BFA" w:rsidP="00DC0BFA">
      <w:pPr>
        <w:tabs>
          <w:tab w:val="left" w:pos="8580"/>
        </w:tabs>
        <w:spacing w:line="240" w:lineRule="auto"/>
      </w:pPr>
    </w:p>
    <w:p w:rsidR="00B717B7" w:rsidRPr="002F4250" w:rsidRDefault="00B717B7" w:rsidP="00B717B7"/>
    <w:sectPr w:rsidR="00B717B7" w:rsidRPr="002F4250" w:rsidSect="00AB603B">
      <w:footerReference w:type="default" r:id="rId13"/>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CD" w:rsidRDefault="003415CD" w:rsidP="00654D4D">
      <w:pPr>
        <w:spacing w:after="0" w:line="240" w:lineRule="auto"/>
      </w:pPr>
      <w:r>
        <w:separator/>
      </w:r>
    </w:p>
  </w:endnote>
  <w:endnote w:type="continuationSeparator" w:id="0">
    <w:p w:rsidR="003415CD" w:rsidRDefault="003415CD" w:rsidP="0065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032042"/>
      <w:docPartObj>
        <w:docPartGallery w:val="Page Numbers (Bottom of Page)"/>
        <w:docPartUnique/>
      </w:docPartObj>
    </w:sdtPr>
    <w:sdtEndPr/>
    <w:sdtContent>
      <w:sdt>
        <w:sdtPr>
          <w:id w:val="1728636285"/>
          <w:docPartObj>
            <w:docPartGallery w:val="Page Numbers (Top of Page)"/>
            <w:docPartUnique/>
          </w:docPartObj>
        </w:sdtPr>
        <w:sdtEndPr/>
        <w:sdtContent>
          <w:p w:rsidR="00654D4D" w:rsidRDefault="00654D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53D9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3D98">
              <w:rPr>
                <w:b/>
                <w:bCs/>
                <w:noProof/>
              </w:rPr>
              <w:t>12</w:t>
            </w:r>
            <w:r>
              <w:rPr>
                <w:b/>
                <w:bCs/>
                <w:sz w:val="24"/>
                <w:szCs w:val="24"/>
              </w:rPr>
              <w:fldChar w:fldCharType="end"/>
            </w:r>
          </w:p>
        </w:sdtContent>
      </w:sdt>
    </w:sdtContent>
  </w:sdt>
  <w:p w:rsidR="00654D4D" w:rsidRDefault="0065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CD" w:rsidRDefault="003415CD" w:rsidP="00654D4D">
      <w:pPr>
        <w:spacing w:after="0" w:line="240" w:lineRule="auto"/>
      </w:pPr>
      <w:r>
        <w:separator/>
      </w:r>
    </w:p>
  </w:footnote>
  <w:footnote w:type="continuationSeparator" w:id="0">
    <w:p w:rsidR="003415CD" w:rsidRDefault="003415CD" w:rsidP="00654D4D">
      <w:pPr>
        <w:spacing w:after="0" w:line="240" w:lineRule="auto"/>
      </w:pPr>
      <w:r>
        <w:continuationSeparator/>
      </w:r>
    </w:p>
  </w:footnote>
  <w:footnote w:id="1">
    <w:p w:rsidR="00AB603B" w:rsidRPr="00AB603B" w:rsidRDefault="00AB603B" w:rsidP="00AB603B">
      <w:pPr>
        <w:pStyle w:val="FootnoteText"/>
        <w:rPr>
          <w:rFonts w:ascii="Times New Roman" w:hAnsi="Times New Roman" w:cs="Times New Roman"/>
          <w:i/>
          <w:szCs w:val="22"/>
        </w:rPr>
      </w:pPr>
      <w:r w:rsidRPr="00413752">
        <w:rPr>
          <w:rStyle w:val="FootnoteReference"/>
          <w:rFonts w:ascii="Times New Roman" w:hAnsi="Times New Roman" w:cs="Times New Roman"/>
          <w:sz w:val="22"/>
          <w:szCs w:val="22"/>
        </w:rPr>
        <w:footnoteRef/>
      </w:r>
      <w:r w:rsidRPr="00413752">
        <w:rPr>
          <w:rFonts w:ascii="Times New Roman" w:hAnsi="Times New Roman" w:cs="Times New Roman"/>
          <w:sz w:val="22"/>
          <w:szCs w:val="22"/>
        </w:rPr>
        <w:t xml:space="preserve"> </w:t>
      </w:r>
      <w:r w:rsidRPr="00AB603B">
        <w:rPr>
          <w:rFonts w:ascii="Times New Roman" w:hAnsi="Times New Roman" w:cs="Times New Roman"/>
          <w:i/>
          <w:szCs w:val="22"/>
        </w:rPr>
        <w:t>The data source is the General Social Survey of 2011, collected by Statistics Canada. Newfoundland stands for the province Newfoundland and Labrador.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24"/>
    <w:rsid w:val="00013ECD"/>
    <w:rsid w:val="000159FA"/>
    <w:rsid w:val="000343DA"/>
    <w:rsid w:val="00052DD6"/>
    <w:rsid w:val="000A229F"/>
    <w:rsid w:val="000C73F3"/>
    <w:rsid w:val="0012637E"/>
    <w:rsid w:val="0014022E"/>
    <w:rsid w:val="00153D98"/>
    <w:rsid w:val="001833CF"/>
    <w:rsid w:val="001E4252"/>
    <w:rsid w:val="00203D7A"/>
    <w:rsid w:val="00291E2E"/>
    <w:rsid w:val="002B54C3"/>
    <w:rsid w:val="002D0272"/>
    <w:rsid w:val="002E3053"/>
    <w:rsid w:val="002E6ABC"/>
    <w:rsid w:val="002F4250"/>
    <w:rsid w:val="00324241"/>
    <w:rsid w:val="003415CD"/>
    <w:rsid w:val="003423E7"/>
    <w:rsid w:val="003510EC"/>
    <w:rsid w:val="0035146A"/>
    <w:rsid w:val="00377D21"/>
    <w:rsid w:val="003921CB"/>
    <w:rsid w:val="003A600F"/>
    <w:rsid w:val="003D3652"/>
    <w:rsid w:val="00410F91"/>
    <w:rsid w:val="00443863"/>
    <w:rsid w:val="00463246"/>
    <w:rsid w:val="00482206"/>
    <w:rsid w:val="00496912"/>
    <w:rsid w:val="00496C1D"/>
    <w:rsid w:val="004E4804"/>
    <w:rsid w:val="0058355A"/>
    <w:rsid w:val="00597D14"/>
    <w:rsid w:val="005C2838"/>
    <w:rsid w:val="005F54B0"/>
    <w:rsid w:val="006104C2"/>
    <w:rsid w:val="00616DCE"/>
    <w:rsid w:val="006215EC"/>
    <w:rsid w:val="00623BAA"/>
    <w:rsid w:val="00654D4D"/>
    <w:rsid w:val="00681C0A"/>
    <w:rsid w:val="00684BBB"/>
    <w:rsid w:val="006A1BFA"/>
    <w:rsid w:val="006A21DE"/>
    <w:rsid w:val="006A727F"/>
    <w:rsid w:val="006B26F7"/>
    <w:rsid w:val="006B6851"/>
    <w:rsid w:val="006C65D9"/>
    <w:rsid w:val="006E532E"/>
    <w:rsid w:val="006E6E47"/>
    <w:rsid w:val="00707ED5"/>
    <w:rsid w:val="00710714"/>
    <w:rsid w:val="00711EE0"/>
    <w:rsid w:val="00724871"/>
    <w:rsid w:val="00766924"/>
    <w:rsid w:val="007F309A"/>
    <w:rsid w:val="00827E47"/>
    <w:rsid w:val="008303C1"/>
    <w:rsid w:val="0083290C"/>
    <w:rsid w:val="00856EEB"/>
    <w:rsid w:val="008629BC"/>
    <w:rsid w:val="00896863"/>
    <w:rsid w:val="008A4A81"/>
    <w:rsid w:val="008C0851"/>
    <w:rsid w:val="00923AD7"/>
    <w:rsid w:val="0093390C"/>
    <w:rsid w:val="00934EF3"/>
    <w:rsid w:val="009607D2"/>
    <w:rsid w:val="00996365"/>
    <w:rsid w:val="009A132B"/>
    <w:rsid w:val="009B0FB1"/>
    <w:rsid w:val="009F0989"/>
    <w:rsid w:val="009F7BE4"/>
    <w:rsid w:val="00A43134"/>
    <w:rsid w:val="00A76881"/>
    <w:rsid w:val="00A87A4E"/>
    <w:rsid w:val="00AA1172"/>
    <w:rsid w:val="00AB603B"/>
    <w:rsid w:val="00B52AD6"/>
    <w:rsid w:val="00B54063"/>
    <w:rsid w:val="00B717B7"/>
    <w:rsid w:val="00B74C24"/>
    <w:rsid w:val="00B9029E"/>
    <w:rsid w:val="00B9229D"/>
    <w:rsid w:val="00BB0E6E"/>
    <w:rsid w:val="00BC5D4F"/>
    <w:rsid w:val="00BD6F83"/>
    <w:rsid w:val="00BE1204"/>
    <w:rsid w:val="00BF5751"/>
    <w:rsid w:val="00BF7F62"/>
    <w:rsid w:val="00C329A6"/>
    <w:rsid w:val="00C64465"/>
    <w:rsid w:val="00C85005"/>
    <w:rsid w:val="00D240F8"/>
    <w:rsid w:val="00D31EBD"/>
    <w:rsid w:val="00D81D50"/>
    <w:rsid w:val="00DA6748"/>
    <w:rsid w:val="00DB1CB5"/>
    <w:rsid w:val="00DC0BFA"/>
    <w:rsid w:val="00DD17B6"/>
    <w:rsid w:val="00DE3518"/>
    <w:rsid w:val="00DE4A27"/>
    <w:rsid w:val="00DF5D30"/>
    <w:rsid w:val="00E101BE"/>
    <w:rsid w:val="00E23794"/>
    <w:rsid w:val="00E45536"/>
    <w:rsid w:val="00E76D46"/>
    <w:rsid w:val="00E86089"/>
    <w:rsid w:val="00EA1CD0"/>
    <w:rsid w:val="00EB354A"/>
    <w:rsid w:val="00EB3900"/>
    <w:rsid w:val="00EC385F"/>
    <w:rsid w:val="00EF2EB0"/>
    <w:rsid w:val="00F37B06"/>
    <w:rsid w:val="00F72FA3"/>
    <w:rsid w:val="00F97A92"/>
    <w:rsid w:val="00FC5CB4"/>
    <w:rsid w:val="00FC7B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070C"/>
  <w15:chartTrackingRefBased/>
  <w15:docId w15:val="{3EDE92D1-2643-442F-BA98-E2080BD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CB4"/>
    <w:pPr>
      <w:ind w:left="720"/>
      <w:contextualSpacing/>
    </w:pPr>
  </w:style>
  <w:style w:type="paragraph" w:styleId="Header">
    <w:name w:val="header"/>
    <w:basedOn w:val="Normal"/>
    <w:link w:val="HeaderChar"/>
    <w:uiPriority w:val="99"/>
    <w:unhideWhenUsed/>
    <w:rsid w:val="00654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4D"/>
  </w:style>
  <w:style w:type="paragraph" w:styleId="Footer">
    <w:name w:val="footer"/>
    <w:basedOn w:val="Normal"/>
    <w:link w:val="FooterChar"/>
    <w:uiPriority w:val="99"/>
    <w:unhideWhenUsed/>
    <w:rsid w:val="00654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4D"/>
  </w:style>
  <w:style w:type="character" w:styleId="Hyperlink">
    <w:name w:val="Hyperlink"/>
    <w:basedOn w:val="DefaultParagraphFont"/>
    <w:uiPriority w:val="99"/>
    <w:unhideWhenUsed/>
    <w:rsid w:val="00934EF3"/>
    <w:rPr>
      <w:color w:val="0563C1" w:themeColor="hyperlink"/>
      <w:u w:val="single"/>
    </w:rPr>
  </w:style>
  <w:style w:type="character" w:styleId="CommentReference">
    <w:name w:val="annotation reference"/>
    <w:basedOn w:val="DefaultParagraphFont"/>
    <w:uiPriority w:val="99"/>
    <w:semiHidden/>
    <w:unhideWhenUsed/>
    <w:rsid w:val="006A1BFA"/>
    <w:rPr>
      <w:sz w:val="16"/>
      <w:szCs w:val="16"/>
    </w:rPr>
  </w:style>
  <w:style w:type="paragraph" w:styleId="CommentText">
    <w:name w:val="annotation text"/>
    <w:basedOn w:val="Normal"/>
    <w:link w:val="CommentTextChar"/>
    <w:uiPriority w:val="99"/>
    <w:semiHidden/>
    <w:unhideWhenUsed/>
    <w:rsid w:val="006A1BFA"/>
    <w:pPr>
      <w:spacing w:line="240" w:lineRule="auto"/>
    </w:pPr>
    <w:rPr>
      <w:sz w:val="20"/>
      <w:szCs w:val="20"/>
    </w:rPr>
  </w:style>
  <w:style w:type="character" w:customStyle="1" w:styleId="CommentTextChar">
    <w:name w:val="Comment Text Char"/>
    <w:basedOn w:val="DefaultParagraphFont"/>
    <w:link w:val="CommentText"/>
    <w:uiPriority w:val="99"/>
    <w:semiHidden/>
    <w:rsid w:val="006A1BFA"/>
    <w:rPr>
      <w:sz w:val="20"/>
      <w:szCs w:val="20"/>
    </w:rPr>
  </w:style>
  <w:style w:type="paragraph" w:styleId="CommentSubject">
    <w:name w:val="annotation subject"/>
    <w:basedOn w:val="CommentText"/>
    <w:next w:val="CommentText"/>
    <w:link w:val="CommentSubjectChar"/>
    <w:uiPriority w:val="99"/>
    <w:semiHidden/>
    <w:unhideWhenUsed/>
    <w:rsid w:val="006A1BFA"/>
    <w:rPr>
      <w:b/>
      <w:bCs/>
    </w:rPr>
  </w:style>
  <w:style w:type="character" w:customStyle="1" w:styleId="CommentSubjectChar">
    <w:name w:val="Comment Subject Char"/>
    <w:basedOn w:val="CommentTextChar"/>
    <w:link w:val="CommentSubject"/>
    <w:uiPriority w:val="99"/>
    <w:semiHidden/>
    <w:rsid w:val="006A1BFA"/>
    <w:rPr>
      <w:b/>
      <w:bCs/>
      <w:sz w:val="20"/>
      <w:szCs w:val="20"/>
    </w:rPr>
  </w:style>
  <w:style w:type="paragraph" w:styleId="BalloonText">
    <w:name w:val="Balloon Text"/>
    <w:basedOn w:val="Normal"/>
    <w:link w:val="BalloonTextChar"/>
    <w:uiPriority w:val="99"/>
    <w:semiHidden/>
    <w:unhideWhenUsed/>
    <w:rsid w:val="006A1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A"/>
    <w:rPr>
      <w:rFonts w:ascii="Segoe UI" w:hAnsi="Segoe UI" w:cs="Segoe UI"/>
      <w:sz w:val="18"/>
      <w:szCs w:val="18"/>
    </w:rPr>
  </w:style>
  <w:style w:type="paragraph" w:styleId="Revision">
    <w:name w:val="Revision"/>
    <w:hidden/>
    <w:uiPriority w:val="99"/>
    <w:semiHidden/>
    <w:rsid w:val="00013ECD"/>
    <w:pPr>
      <w:spacing w:after="0" w:line="240" w:lineRule="auto"/>
    </w:pPr>
  </w:style>
  <w:style w:type="table" w:styleId="TableGrid">
    <w:name w:val="Table Grid"/>
    <w:basedOn w:val="TableNormal"/>
    <w:uiPriority w:val="39"/>
    <w:rsid w:val="00DB1CB5"/>
    <w:pPr>
      <w:spacing w:after="0" w:line="240" w:lineRule="auto"/>
    </w:pPr>
    <w:rPr>
      <w:lang w:val="fr-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B6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03B"/>
    <w:rPr>
      <w:sz w:val="20"/>
      <w:szCs w:val="20"/>
    </w:rPr>
  </w:style>
  <w:style w:type="character" w:styleId="FootnoteReference">
    <w:name w:val="footnote reference"/>
    <w:basedOn w:val="DefaultParagraphFont"/>
    <w:uiPriority w:val="99"/>
    <w:semiHidden/>
    <w:unhideWhenUsed/>
    <w:rsid w:val="00AB6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91209">
      <w:bodyDiv w:val="1"/>
      <w:marLeft w:val="0"/>
      <w:marRight w:val="0"/>
      <w:marTop w:val="0"/>
      <w:marBottom w:val="0"/>
      <w:divBdr>
        <w:top w:val="none" w:sz="0" w:space="0" w:color="auto"/>
        <w:left w:val="none" w:sz="0" w:space="0" w:color="auto"/>
        <w:bottom w:val="none" w:sz="0" w:space="0" w:color="auto"/>
        <w:right w:val="none" w:sz="0" w:space="0" w:color="auto"/>
      </w:divBdr>
      <w:divsChild>
        <w:div w:id="912861917">
          <w:marLeft w:val="0"/>
          <w:marRight w:val="0"/>
          <w:marTop w:val="0"/>
          <w:marBottom w:val="0"/>
          <w:divBdr>
            <w:top w:val="single" w:sz="6" w:space="0" w:color="FFFFFF"/>
            <w:left w:val="none" w:sz="0" w:space="0" w:color="auto"/>
            <w:bottom w:val="none" w:sz="0" w:space="0" w:color="auto"/>
            <w:right w:val="none" w:sz="0" w:space="0" w:color="auto"/>
          </w:divBdr>
          <w:divsChild>
            <w:div w:id="80175969">
              <w:marLeft w:val="0"/>
              <w:marRight w:val="0"/>
              <w:marTop w:val="0"/>
              <w:marBottom w:val="0"/>
              <w:divBdr>
                <w:top w:val="none" w:sz="0" w:space="0" w:color="auto"/>
                <w:left w:val="none" w:sz="0" w:space="0" w:color="auto"/>
                <w:bottom w:val="none" w:sz="0" w:space="0" w:color="auto"/>
                <w:right w:val="none" w:sz="0" w:space="0" w:color="auto"/>
              </w:divBdr>
              <w:divsChild>
                <w:div w:id="1180120898">
                  <w:marLeft w:val="0"/>
                  <w:marRight w:val="0"/>
                  <w:marTop w:val="0"/>
                  <w:marBottom w:val="0"/>
                  <w:divBdr>
                    <w:top w:val="none" w:sz="0" w:space="0" w:color="auto"/>
                    <w:left w:val="none" w:sz="0" w:space="0" w:color="auto"/>
                    <w:bottom w:val="none" w:sz="0" w:space="0" w:color="auto"/>
                    <w:right w:val="none" w:sz="0" w:space="0" w:color="auto"/>
                  </w:divBdr>
                  <w:divsChild>
                    <w:div w:id="475027858">
                      <w:marLeft w:val="0"/>
                      <w:marRight w:val="0"/>
                      <w:marTop w:val="0"/>
                      <w:marBottom w:val="0"/>
                      <w:divBdr>
                        <w:top w:val="none" w:sz="0" w:space="0" w:color="auto"/>
                        <w:left w:val="none" w:sz="0" w:space="0" w:color="auto"/>
                        <w:bottom w:val="none" w:sz="0" w:space="0" w:color="auto"/>
                        <w:right w:val="none" w:sz="0" w:space="0" w:color="auto"/>
                      </w:divBdr>
                      <w:divsChild>
                        <w:div w:id="1475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yalternatives.ca/publications/reports/young-and-leverag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apers.ssrn.com/sol3/papers.cfm?abstract_id=27019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77A7-F5C3-4625-A30F-B48E8F82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Charlene Boyce</cp:lastModifiedBy>
  <cp:revision>7</cp:revision>
  <dcterms:created xsi:type="dcterms:W3CDTF">2016-06-27T16:28:00Z</dcterms:created>
  <dcterms:modified xsi:type="dcterms:W3CDTF">2016-06-30T16:35:00Z</dcterms:modified>
</cp:coreProperties>
</file>